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bookmarkStart w:id="0" w:name="_GoBack"/>
      <w:bookmarkEnd w:id="0"/>
      <w:r>
        <w:rPr>
          <w:rFonts w:hint="eastAsia"/>
          <w:sz w:val="52"/>
          <w:szCs w:val="52"/>
        </w:rPr>
        <w:t>管理学院</w:t>
      </w:r>
    </w:p>
    <w:tbl>
      <w:tblPr>
        <w:tblStyle w:val="3"/>
        <w:tblpPr w:leftFromText="180" w:rightFromText="180" w:vertAnchor="text" w:horzAnchor="page" w:tblpX="4093" w:tblpY="192"/>
        <w:tblOverlap w:val="never"/>
        <w:tblW w:w="11100" w:type="dxa"/>
        <w:tblCellSpacing w:w="0" w:type="dxa"/>
        <w:tblInd w:w="0" w:type="dxa"/>
        <w:shd w:val="clear" w:color="auto" w:fill="auto"/>
        <w:tblLayout w:type="autofit"/>
        <w:tblCellMar>
          <w:top w:w="0" w:type="dxa"/>
          <w:left w:w="0" w:type="dxa"/>
          <w:bottom w:w="0" w:type="dxa"/>
          <w:right w:w="0" w:type="dxa"/>
        </w:tblCellMar>
      </w:tblPr>
      <w:tblGrid>
        <w:gridCol w:w="11100"/>
      </w:tblGrid>
      <w:tr>
        <w:tblPrEx>
          <w:tblCellMar>
            <w:top w:w="0" w:type="dxa"/>
            <w:left w:w="0" w:type="dxa"/>
            <w:bottom w:w="0" w:type="dxa"/>
            <w:right w:w="0" w:type="dxa"/>
          </w:tblCellMar>
        </w:tblPrEx>
        <w:trPr>
          <w:trHeight w:val="375" w:hRule="atLeast"/>
          <w:tblCellSpacing w:w="0" w:type="dxa"/>
        </w:trPr>
        <w:tc>
          <w:tcPr>
            <w:tcW w:w="0" w:type="auto"/>
            <w:shd w:val="clear" w:color="auto" w:fill="EFEFEF"/>
            <w:tcMar>
              <w:left w:w="150" w:type="dxa"/>
            </w:tcMar>
            <w:vAlign w:val="center"/>
          </w:tcPr>
          <w:p>
            <w:pPr>
              <w:keepNext w:val="0"/>
              <w:keepLines w:val="0"/>
              <w:widowControl/>
              <w:suppressLineNumbers w:val="0"/>
              <w:shd w:val="clear" w:fill="EFEFEF"/>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lang w:val="en-US" w:eastAsia="zh-CN" w:bidi="ar"/>
              </w:rPr>
              <w:t>管理学院包含以下专业：</w:t>
            </w:r>
          </w:p>
        </w:tc>
      </w:tr>
      <w:tr>
        <w:tblPrEx>
          <w:shd w:val="clear" w:color="auto" w:fill="auto"/>
          <w:tblCellMar>
            <w:top w:w="0" w:type="dxa"/>
            <w:left w:w="0" w:type="dxa"/>
            <w:bottom w:w="0" w:type="dxa"/>
            <w:right w:w="0" w:type="dxa"/>
          </w:tblCellMar>
        </w:tblPrEx>
        <w:trPr>
          <w:trHeight w:val="121" w:hRule="atLeast"/>
          <w:tblCellSpacing w:w="0" w:type="dxa"/>
        </w:trPr>
        <w:tc>
          <w:tcPr>
            <w:tcW w:w="0" w:type="auto"/>
            <w:shd w:val="clear" w:color="auto" w:fill="auto"/>
            <w:vAlign w:val="center"/>
          </w:tcPr>
          <w:p>
            <w:pPr>
              <w:rPr>
                <w:rFonts w:hint="eastAsia" w:ascii="宋体"/>
                <w:sz w:val="24"/>
                <w:szCs w:val="24"/>
              </w:rPr>
            </w:pPr>
          </w:p>
        </w:tc>
      </w:tr>
    </w:tbl>
    <w:p>
      <w:pPr>
        <w:rPr>
          <w:rFonts w:hint="eastAsia"/>
        </w:rPr>
      </w:pPr>
    </w:p>
    <w:tbl>
      <w:tblPr>
        <w:tblpPr w:vertAnchor="text" w:tblpXSpec="right"/>
        <w:tblW w:w="0" w:type="auto"/>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PrEx>
        <w:trPr>
          <w:tblCellSpacing w:w="0" w:type="dxa"/>
          <w:hidden/>
        </w:trPr>
        <w:tc>
          <w:tcPr>
            <w:tcW w:w="0" w:type="auto"/>
            <w:tcBorders>
              <w:bottom w:val="single" w:color="D8D8D8" w:sz="6" w:space="0"/>
            </w:tcBorders>
            <w:shd w:val="clear" w:color="auto" w:fill="FFFFFF"/>
            <w:vAlign w:val="center"/>
          </w:tcPr>
          <w:p>
            <w:pPr>
              <w:rPr>
                <w:vanish/>
                <w:sz w:val="24"/>
                <w:szCs w:val="24"/>
              </w:rPr>
            </w:pPr>
          </w:p>
          <w:tbl>
            <w:tblPr>
              <w:tblW w:w="0" w:type="auto"/>
              <w:tblCellSpacing w:w="0" w:type="dxa"/>
              <w:tblInd w:w="0" w:type="dxa"/>
              <w:shd w:val="clear"/>
              <w:tblLayout w:type="autofit"/>
              <w:tblCellMar>
                <w:top w:w="0" w:type="dxa"/>
                <w:left w:w="0" w:type="dxa"/>
                <w:bottom w:w="0" w:type="dxa"/>
                <w:right w:w="0" w:type="dxa"/>
              </w:tblCellMar>
            </w:tblPr>
            <w:tblGrid>
              <w:gridCol w:w="750"/>
              <w:gridCol w:w="1575"/>
              <w:gridCol w:w="1575"/>
              <w:gridCol w:w="1575"/>
              <w:gridCol w:w="1050"/>
              <w:gridCol w:w="1050"/>
              <w:gridCol w:w="1575"/>
              <w:gridCol w:w="1050"/>
              <w:gridCol w:w="900"/>
            </w:tblGrid>
            <w:tr>
              <w:tblPrEx>
                <w:shd w:val="clear"/>
                <w:tblCellMar>
                  <w:top w:w="0" w:type="dxa"/>
                  <w:left w:w="0" w:type="dxa"/>
                  <w:bottom w:w="0" w:type="dxa"/>
                  <w:right w:w="0" w:type="dxa"/>
                </w:tblCellMar>
              </w:tblPrEx>
              <w:trPr>
                <w:tblCellSpacing w:w="0" w:type="dxa"/>
              </w:trPr>
              <w:tc>
                <w:tcPr>
                  <w:tcW w:w="750" w:type="dxa"/>
                  <w:shd w:val="clear"/>
                  <w:vAlign w:val="center"/>
                </w:tcPr>
                <w:tbl>
                  <w:tblPr>
                    <w:tblW w:w="750" w:type="dxa"/>
                    <w:tblCellSpacing w:w="0" w:type="dxa"/>
                    <w:tblInd w:w="0" w:type="dxa"/>
                    <w:shd w:val="clear"/>
                    <w:tblLayout w:type="autofit"/>
                    <w:tblCellMar>
                      <w:top w:w="0" w:type="dxa"/>
                      <w:left w:w="0" w:type="dxa"/>
                      <w:bottom w:w="0" w:type="dxa"/>
                      <w:right w:w="0" w:type="dxa"/>
                    </w:tblCellMar>
                  </w:tblPr>
                  <w:tblGrid>
                    <w:gridCol w:w="750"/>
                  </w:tblGrid>
                  <w:tr>
                    <w:tblPrEx>
                      <w:shd w:val="clear"/>
                      <w:tblCellMar>
                        <w:top w:w="0" w:type="dxa"/>
                        <w:left w:w="0" w:type="dxa"/>
                        <w:bottom w:w="0" w:type="dxa"/>
                        <w:right w:w="0" w:type="dxa"/>
                      </w:tblCellMar>
                    </w:tblPrEx>
                    <w:trPr>
                      <w:tblCellSpacing w:w="0" w:type="dxa"/>
                    </w:trPr>
                    <w:tc>
                      <w:tcPr>
                        <w:tcW w:w="150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FFFFFF"/>
                            <w:sz w:val="18"/>
                            <w:szCs w:val="18"/>
                            <w:u w:val="none"/>
                          </w:rPr>
                        </w:pPr>
                        <w:r>
                          <w:rPr>
                            <w:rFonts w:hint="eastAsia" w:ascii="宋体" w:hAnsi="宋体" w:eastAsia="宋体" w:cs="宋体"/>
                            <w:i w:val="0"/>
                            <w:color w:val="FFFFFF"/>
                            <w:kern w:val="0"/>
                            <w:sz w:val="18"/>
                            <w:szCs w:val="18"/>
                            <w:u w:val="none"/>
                            <w:bdr w:val="none" w:color="auto" w:sz="0" w:space="0"/>
                            <w:lang w:val="en-US" w:eastAsia="zh-CN" w:bidi="ar"/>
                          </w:rPr>
                          <w:t>金融</w:t>
                        </w:r>
                      </w:p>
                    </w:tc>
                  </w:tr>
                </w:tbl>
                <w:p>
                  <w:pPr>
                    <w:spacing w:line="330" w:lineRule="atLeast"/>
                    <w:jc w:val="left"/>
                  </w:pPr>
                </w:p>
              </w:tc>
              <w:tc>
                <w:tcPr>
                  <w:tcW w:w="1575" w:type="dxa"/>
                  <w:shd w:val="clear"/>
                  <w:vAlign w:val="center"/>
                </w:tcPr>
                <w:tbl>
                  <w:tblPr>
                    <w:tblW w:w="1575" w:type="dxa"/>
                    <w:tblCellSpacing w:w="0" w:type="dxa"/>
                    <w:tblInd w:w="0" w:type="dxa"/>
                    <w:shd w:val="clear"/>
                    <w:tblLayout w:type="autofit"/>
                    <w:tblCellMar>
                      <w:top w:w="0" w:type="dxa"/>
                      <w:left w:w="0" w:type="dxa"/>
                      <w:bottom w:w="0" w:type="dxa"/>
                      <w:right w:w="0" w:type="dxa"/>
                    </w:tblCellMar>
                  </w:tblPr>
                  <w:tblGrid>
                    <w:gridCol w:w="1575"/>
                  </w:tblGrid>
                  <w:tr>
                    <w:tblPrEx>
                      <w:shd w:val="clear"/>
                    </w:tblPrEx>
                    <w:trPr>
                      <w:tblCellSpacing w:w="0" w:type="dxa"/>
                    </w:trPr>
                    <w:tc>
                      <w:tcPr>
                        <w:tcW w:w="1575"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工商管理（全）</w:t>
                        </w:r>
                      </w:p>
                    </w:tc>
                  </w:tr>
                </w:tbl>
                <w:p>
                  <w:pPr>
                    <w:spacing w:line="330" w:lineRule="atLeast"/>
                    <w:jc w:val="left"/>
                  </w:pPr>
                </w:p>
              </w:tc>
              <w:tc>
                <w:tcPr>
                  <w:tcW w:w="1575" w:type="dxa"/>
                  <w:shd w:val="clear"/>
                  <w:vAlign w:val="center"/>
                </w:tcPr>
                <w:tbl>
                  <w:tblPr>
                    <w:tblW w:w="1575" w:type="dxa"/>
                    <w:tblCellSpacing w:w="0" w:type="dxa"/>
                    <w:tblInd w:w="0" w:type="dxa"/>
                    <w:shd w:val="clear"/>
                    <w:tblLayout w:type="autofit"/>
                    <w:tblCellMar>
                      <w:top w:w="0" w:type="dxa"/>
                      <w:left w:w="0" w:type="dxa"/>
                      <w:bottom w:w="0" w:type="dxa"/>
                      <w:right w:w="0" w:type="dxa"/>
                    </w:tblCellMar>
                  </w:tblPr>
                  <w:tblGrid>
                    <w:gridCol w:w="1575"/>
                  </w:tblGrid>
                  <w:tr>
                    <w:tblPrEx>
                      <w:tblCellMar>
                        <w:top w:w="0" w:type="dxa"/>
                        <w:left w:w="0" w:type="dxa"/>
                        <w:bottom w:w="0" w:type="dxa"/>
                        <w:right w:w="0" w:type="dxa"/>
                      </w:tblCellMar>
                    </w:tblPrEx>
                    <w:trPr>
                      <w:tblCellSpacing w:w="0" w:type="dxa"/>
                    </w:trPr>
                    <w:tc>
                      <w:tcPr>
                        <w:tcW w:w="1575"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物流工程与管理</w:t>
                        </w:r>
                      </w:p>
                    </w:tc>
                  </w:tr>
                </w:tbl>
                <w:p>
                  <w:pPr>
                    <w:spacing w:line="330" w:lineRule="atLeast"/>
                    <w:jc w:val="left"/>
                  </w:pPr>
                </w:p>
              </w:tc>
              <w:tc>
                <w:tcPr>
                  <w:tcW w:w="1575" w:type="dxa"/>
                  <w:shd w:val="clear"/>
                  <w:vAlign w:val="center"/>
                </w:tcPr>
                <w:tbl>
                  <w:tblPr>
                    <w:tblW w:w="1575" w:type="dxa"/>
                    <w:tblCellSpacing w:w="0" w:type="dxa"/>
                    <w:tblInd w:w="0" w:type="dxa"/>
                    <w:shd w:val="clear"/>
                    <w:tblLayout w:type="autofit"/>
                    <w:tblCellMar>
                      <w:top w:w="0" w:type="dxa"/>
                      <w:left w:w="0" w:type="dxa"/>
                      <w:bottom w:w="0" w:type="dxa"/>
                      <w:right w:w="0" w:type="dxa"/>
                    </w:tblCellMar>
                  </w:tblPr>
                  <w:tblGrid>
                    <w:gridCol w:w="1575"/>
                  </w:tblGrid>
                  <w:tr>
                    <w:tblPrEx>
                      <w:shd w:val="clear"/>
                    </w:tblPrEx>
                    <w:trPr>
                      <w:tblCellSpacing w:w="0" w:type="dxa"/>
                    </w:trPr>
                    <w:tc>
                      <w:tcPr>
                        <w:tcW w:w="1575"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管理科学与工程</w:t>
                        </w:r>
                      </w:p>
                    </w:tc>
                  </w:tr>
                </w:tbl>
                <w:p>
                  <w:pPr>
                    <w:spacing w:line="330" w:lineRule="atLeast"/>
                    <w:jc w:val="left"/>
                  </w:pPr>
                </w:p>
              </w:tc>
              <w:tc>
                <w:tcPr>
                  <w:tcW w:w="1050" w:type="dxa"/>
                  <w:shd w:val="clear"/>
                  <w:vAlign w:val="center"/>
                </w:tcPr>
                <w:tbl>
                  <w:tblPr>
                    <w:tblW w:w="1050" w:type="dxa"/>
                    <w:tblCellSpacing w:w="0" w:type="dxa"/>
                    <w:tblInd w:w="0" w:type="dxa"/>
                    <w:shd w:val="clear"/>
                    <w:tblLayout w:type="autofit"/>
                    <w:tblCellMar>
                      <w:top w:w="0" w:type="dxa"/>
                      <w:left w:w="0" w:type="dxa"/>
                      <w:bottom w:w="0" w:type="dxa"/>
                      <w:right w:w="0" w:type="dxa"/>
                    </w:tblCellMar>
                  </w:tblPr>
                  <w:tblGrid>
                    <w:gridCol w:w="1050"/>
                  </w:tblGrid>
                  <w:tr>
                    <w:tblPrEx>
                      <w:shd w:val="clear"/>
                    </w:tblPrEx>
                    <w:trPr>
                      <w:tblCellSpacing w:w="0" w:type="dxa"/>
                    </w:trPr>
                    <w:tc>
                      <w:tcPr>
                        <w:tcW w:w="105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工商管理</w:t>
                        </w:r>
                      </w:p>
                    </w:tc>
                  </w:tr>
                </w:tbl>
                <w:p>
                  <w:pPr>
                    <w:spacing w:line="330" w:lineRule="atLeast"/>
                    <w:jc w:val="left"/>
                  </w:pPr>
                </w:p>
              </w:tc>
              <w:tc>
                <w:tcPr>
                  <w:tcW w:w="1050" w:type="dxa"/>
                  <w:shd w:val="clear"/>
                  <w:vAlign w:val="center"/>
                </w:tcPr>
                <w:tbl>
                  <w:tblPr>
                    <w:tblW w:w="1050" w:type="dxa"/>
                    <w:tblCellSpacing w:w="0" w:type="dxa"/>
                    <w:tblInd w:w="0" w:type="dxa"/>
                    <w:shd w:val="clear"/>
                    <w:tblLayout w:type="autofit"/>
                    <w:tblCellMar>
                      <w:top w:w="0" w:type="dxa"/>
                      <w:left w:w="0" w:type="dxa"/>
                      <w:bottom w:w="0" w:type="dxa"/>
                      <w:right w:w="0" w:type="dxa"/>
                    </w:tblCellMar>
                  </w:tblPr>
                  <w:tblGrid>
                    <w:gridCol w:w="1050"/>
                  </w:tblGrid>
                  <w:tr>
                    <w:tblPrEx>
                      <w:shd w:val="clear"/>
                      <w:tblCellMar>
                        <w:top w:w="0" w:type="dxa"/>
                        <w:left w:w="0" w:type="dxa"/>
                        <w:bottom w:w="0" w:type="dxa"/>
                        <w:right w:w="0" w:type="dxa"/>
                      </w:tblCellMar>
                    </w:tblPrEx>
                    <w:trPr>
                      <w:tblCellSpacing w:w="0" w:type="dxa"/>
                    </w:trPr>
                    <w:tc>
                      <w:tcPr>
                        <w:tcW w:w="105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项目管理</w:t>
                        </w:r>
                      </w:p>
                    </w:tc>
                  </w:tr>
                </w:tbl>
                <w:p>
                  <w:pPr>
                    <w:spacing w:line="330" w:lineRule="atLeast"/>
                    <w:jc w:val="left"/>
                  </w:pPr>
                </w:p>
              </w:tc>
              <w:tc>
                <w:tcPr>
                  <w:tcW w:w="1575" w:type="dxa"/>
                  <w:shd w:val="clear"/>
                  <w:vAlign w:val="center"/>
                </w:tcPr>
                <w:tbl>
                  <w:tblPr>
                    <w:tblW w:w="1575" w:type="dxa"/>
                    <w:tblCellSpacing w:w="0" w:type="dxa"/>
                    <w:tblInd w:w="0" w:type="dxa"/>
                    <w:shd w:val="clear"/>
                    <w:tblLayout w:type="autofit"/>
                    <w:tblCellMar>
                      <w:top w:w="0" w:type="dxa"/>
                      <w:left w:w="0" w:type="dxa"/>
                      <w:bottom w:w="0" w:type="dxa"/>
                      <w:right w:w="0" w:type="dxa"/>
                    </w:tblCellMar>
                  </w:tblPr>
                  <w:tblGrid>
                    <w:gridCol w:w="1575"/>
                  </w:tblGrid>
                  <w:tr>
                    <w:tblPrEx>
                      <w:shd w:val="clear"/>
                      <w:tblCellMar>
                        <w:top w:w="0" w:type="dxa"/>
                        <w:left w:w="0" w:type="dxa"/>
                        <w:bottom w:w="0" w:type="dxa"/>
                        <w:right w:w="0" w:type="dxa"/>
                      </w:tblCellMar>
                    </w:tblPrEx>
                    <w:trPr>
                      <w:tblCellSpacing w:w="0" w:type="dxa"/>
                    </w:trPr>
                    <w:tc>
                      <w:tcPr>
                        <w:tcW w:w="1575"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工商管理（非）</w:t>
                        </w:r>
                      </w:p>
                    </w:tc>
                  </w:tr>
                </w:tbl>
                <w:p>
                  <w:pPr>
                    <w:spacing w:line="330" w:lineRule="atLeast"/>
                    <w:jc w:val="left"/>
                  </w:pPr>
                </w:p>
              </w:tc>
              <w:tc>
                <w:tcPr>
                  <w:tcW w:w="1050" w:type="dxa"/>
                  <w:shd w:val="clear"/>
                  <w:vAlign w:val="center"/>
                </w:tcPr>
                <w:tbl>
                  <w:tblPr>
                    <w:tblW w:w="1050" w:type="dxa"/>
                    <w:tblCellSpacing w:w="0" w:type="dxa"/>
                    <w:tblInd w:w="0" w:type="dxa"/>
                    <w:shd w:val="clear"/>
                    <w:tblLayout w:type="autofit"/>
                    <w:tblCellMar>
                      <w:top w:w="0" w:type="dxa"/>
                      <w:left w:w="0" w:type="dxa"/>
                      <w:bottom w:w="0" w:type="dxa"/>
                      <w:right w:w="0" w:type="dxa"/>
                    </w:tblCellMar>
                  </w:tblPr>
                  <w:tblGrid>
                    <w:gridCol w:w="1050"/>
                  </w:tblGrid>
                  <w:tr>
                    <w:tblPrEx>
                      <w:shd w:val="clear"/>
                    </w:tblPrEx>
                    <w:trPr>
                      <w:tblCellSpacing w:w="0" w:type="dxa"/>
                    </w:trPr>
                    <w:tc>
                      <w:tcPr>
                        <w:tcW w:w="105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应用统计</w:t>
                        </w:r>
                      </w:p>
                    </w:tc>
                  </w:tr>
                </w:tbl>
                <w:p>
                  <w:pPr>
                    <w:spacing w:line="330" w:lineRule="atLeast"/>
                    <w:jc w:val="left"/>
                  </w:pPr>
                </w:p>
              </w:tc>
              <w:tc>
                <w:tcPr>
                  <w:tcW w:w="900" w:type="dxa"/>
                  <w:shd w:val="clear"/>
                  <w:vAlign w:val="center"/>
                </w:tcPr>
                <w:tbl>
                  <w:tblPr>
                    <w:tblW w:w="900" w:type="dxa"/>
                    <w:tblCellSpacing w:w="0" w:type="dxa"/>
                    <w:tblInd w:w="0" w:type="dxa"/>
                    <w:shd w:val="clear"/>
                    <w:tblLayout w:type="autofit"/>
                    <w:tblCellMar>
                      <w:top w:w="0" w:type="dxa"/>
                      <w:left w:w="0" w:type="dxa"/>
                      <w:bottom w:w="0" w:type="dxa"/>
                      <w:right w:w="0" w:type="dxa"/>
                    </w:tblCellMar>
                  </w:tblPr>
                  <w:tblGrid>
                    <w:gridCol w:w="900"/>
                  </w:tblGrid>
                  <w:tr>
                    <w:tblPrEx>
                      <w:shd w:val="clear"/>
                      <w:tblCellMar>
                        <w:top w:w="0" w:type="dxa"/>
                        <w:left w:w="0" w:type="dxa"/>
                        <w:bottom w:w="0" w:type="dxa"/>
                        <w:right w:w="0" w:type="dxa"/>
                      </w:tblCellMar>
                    </w:tblPrEx>
                    <w:trPr>
                      <w:tblCellSpacing w:w="0" w:type="dxa"/>
                    </w:trPr>
                    <w:tc>
                      <w:tcPr>
                        <w:tcW w:w="90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统计学</w:t>
                        </w:r>
                      </w:p>
                    </w:tc>
                  </w:tr>
                </w:tbl>
                <w:p>
                  <w:pPr>
                    <w:spacing w:line="330" w:lineRule="atLeast"/>
                    <w:jc w:val="left"/>
                  </w:pPr>
                </w:p>
              </w:tc>
            </w:tr>
          </w:tbl>
          <w:p>
            <w:pPr>
              <w:jc w:val="left"/>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top"/>
          </w:tcPr>
          <w:tbl>
            <w:tblPr>
              <w:tblW w:w="11100" w:type="dxa"/>
              <w:jc w:val="center"/>
              <w:tblCellSpacing w:w="0" w:type="dxa"/>
              <w:shd w:val="clear"/>
              <w:tblLayout w:type="autofit"/>
              <w:tblCellMar>
                <w:top w:w="0" w:type="dxa"/>
                <w:left w:w="0" w:type="dxa"/>
                <w:bottom w:w="0" w:type="dxa"/>
                <w:right w:w="0" w:type="dxa"/>
              </w:tblCellMar>
            </w:tblPr>
            <w:tblGrid>
              <w:gridCol w:w="11100"/>
            </w:tblGrid>
            <w:tr>
              <w:tblPrEx>
                <w:tblCellMar>
                  <w:top w:w="0" w:type="dxa"/>
                  <w:left w:w="0" w:type="dxa"/>
                  <w:bottom w:w="0" w:type="dxa"/>
                  <w:right w:w="0" w:type="dxa"/>
                </w:tblCellMar>
              </w:tblPrEx>
              <w:trPr>
                <w:trHeight w:val="151" w:hRule="atLeast"/>
                <w:tblCellSpacing w:w="0" w:type="dxa"/>
                <w:jc w:val="center"/>
              </w:trPr>
              <w:tc>
                <w:tcPr>
                  <w:tcW w:w="0" w:type="auto"/>
                  <w:shd w:val="clear"/>
                  <w:vAlign w:val="center"/>
                </w:tcPr>
                <w:p>
                  <w:pPr>
                    <w:rPr>
                      <w:rFonts w:hint="eastAsia" w:ascii="宋体"/>
                      <w:sz w:val="24"/>
                      <w:szCs w:val="24"/>
                    </w:rPr>
                  </w:pPr>
                </w:p>
              </w:tc>
            </w:tr>
            <w:tr>
              <w:trPr>
                <w:tblCellSpacing w:w="0" w:type="dxa"/>
                <w:jc w:val="center"/>
              </w:trPr>
              <w:tc>
                <w:tcPr>
                  <w:tcW w:w="0" w:type="auto"/>
                  <w:shd w:val="clear"/>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学科专业名称：金融</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5"/>
                            <w:rFonts w:hint="eastAsia" w:ascii="宋体" w:hAnsi="宋体" w:eastAsia="宋体" w:cs="宋体"/>
                            <w:i w:val="0"/>
                            <w:color w:val="003399"/>
                            <w:kern w:val="0"/>
                            <w:sz w:val="18"/>
                            <w:szCs w:val="18"/>
                            <w:u w:val="none"/>
                            <w:bdr w:val="none" w:color="auto" w:sz="0" w:space="0"/>
                            <w:lang w:val="en-US" w:eastAsia="zh-CN" w:bidi="ar"/>
                          </w:rPr>
                          <w:t>025100)</w:t>
                        </w:r>
                      </w:p>
                    </w:tc>
                  </w:tr>
                  <w:tr>
                    <w:tblPrEx>
                      <w:shd w:val="cle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tc>
            </w:tr>
            <w:tr>
              <w:tblPrEx>
                <w:shd w:val="clear"/>
                <w:tblCellMar>
                  <w:top w:w="0" w:type="dxa"/>
                  <w:left w:w="0" w:type="dxa"/>
                  <w:bottom w:w="0" w:type="dxa"/>
                  <w:right w:w="0" w:type="dxa"/>
                </w:tblCellMar>
              </w:tblPrEx>
              <w:trPr>
                <w:tblCellSpacing w:w="0" w:type="dxa"/>
                <w:jc w:val="center"/>
              </w:trPr>
              <w:tc>
                <w:tcPr>
                  <w:tcW w:w="0" w:type="auto"/>
                  <w:shd w:val="clear"/>
                  <w:tcMar>
                    <w:top w:w="225" w:type="dxa"/>
                    <w:left w:w="75" w:type="dxa"/>
                    <w:bottom w:w="225" w:type="dxa"/>
                    <w:right w:w="75" w:type="dxa"/>
                  </w:tcMar>
                  <w:vAlign w:val="center"/>
                </w:tcPr>
                <w:p>
                  <w:pPr>
                    <w:keepNext w:val="0"/>
                    <w:keepLines w:val="0"/>
                    <w:widowControl/>
                    <w:suppressLineNumbers w:val="0"/>
                    <w:spacing w:line="330" w:lineRule="atLeast"/>
                    <w:jc w:val="left"/>
                    <w:rPr>
                      <w:rFonts w:hint="eastAsia" w:ascii="宋体" w:hAnsi="宋体" w:eastAsia="宋体" w:cs="宋体"/>
                      <w:i w:val="0"/>
                      <w:color w:val="575757"/>
                      <w:sz w:val="18"/>
                      <w:szCs w:val="18"/>
                      <w:u w:val="none"/>
                    </w:rPr>
                  </w:pPr>
                  <w:r>
                    <w:rPr>
                      <w:rStyle w:val="5"/>
                      <w:rFonts w:hint="eastAsia" w:ascii="宋体" w:hAnsi="宋体" w:eastAsia="宋体" w:cs="宋体"/>
                      <w:i w:val="0"/>
                      <w:color w:val="575757"/>
                      <w:kern w:val="0"/>
                      <w:sz w:val="18"/>
                      <w:szCs w:val="18"/>
                      <w:u w:val="none"/>
                      <w:bdr w:val="none" w:color="auto" w:sz="0" w:space="0"/>
                      <w:lang w:val="en-US" w:eastAsia="zh-CN" w:bidi="ar"/>
                    </w:rPr>
                    <w:t>一、报考说明</w:t>
                  </w:r>
                  <w:r>
                    <w:rPr>
                      <w:rFonts w:hint="eastAsia" w:ascii="宋体" w:hAnsi="宋体" w:eastAsia="宋体" w:cs="宋体"/>
                      <w:i w:val="0"/>
                      <w:color w:val="575757"/>
                      <w:kern w:val="0"/>
                      <w:sz w:val="18"/>
                      <w:szCs w:val="18"/>
                      <w:u w:val="none"/>
                      <w:bdr w:val="none" w:color="auto" w:sz="0" w:space="0"/>
                      <w:lang w:val="en-US" w:eastAsia="zh-CN" w:bidi="ar"/>
                    </w:rPr>
                    <w:t>：</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国民教育序列大学本科及以上毕业。本专业接收推免及统考生。要求有较好的数理基础、较高的英语水平；尤其欢迎具有扎实的数理基础和计算机技术、有志于从事量化金融工作的理工科学生。</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5"/>
                      <w:rFonts w:hint="eastAsia" w:ascii="宋体" w:hAnsi="宋体" w:eastAsia="宋体" w:cs="宋体"/>
                      <w:i w:val="0"/>
                      <w:color w:val="575757"/>
                      <w:kern w:val="0"/>
                      <w:sz w:val="18"/>
                      <w:szCs w:val="18"/>
                      <w:u w:val="none"/>
                      <w:bdr w:val="none" w:color="auto" w:sz="0" w:space="0"/>
                      <w:lang w:val="en-US" w:eastAsia="zh-CN" w:bidi="ar"/>
                    </w:rPr>
                    <w:t>二、专业介绍</w:t>
                  </w:r>
                  <w:r>
                    <w:rPr>
                      <w:rFonts w:hint="eastAsia" w:ascii="宋体" w:hAnsi="宋体" w:eastAsia="宋体" w:cs="宋体"/>
                      <w:i w:val="0"/>
                      <w:color w:val="575757"/>
                      <w:kern w:val="0"/>
                      <w:sz w:val="18"/>
                      <w:szCs w:val="18"/>
                      <w:u w:val="none"/>
                      <w:bdr w:val="none" w:color="auto" w:sz="0" w:space="0"/>
                      <w:lang w:val="en-US" w:eastAsia="zh-CN" w:bidi="ar"/>
                    </w:rPr>
                    <w:t>：</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中国科学技术大学金融硕士（MF）项目借鉴世界名校的课程设置，充分发挥中国科大统计、管理学科优势和金融业校友资源优势，借助于独特的业界导师制度，为金融硕士学生提供良好的学习环境和高端成长平台。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本项目培养具有良好的职业道德素养，掌握现代金融理论、数据分析方法和计算机技术，熟悉金融实务与法规，拥有前瞻性国际视野的高层次、创新型应用金融人才。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5"/>
                      <w:rFonts w:hint="eastAsia" w:ascii="宋体" w:hAnsi="宋体" w:eastAsia="宋体" w:cs="宋体"/>
                      <w:i w:val="0"/>
                      <w:color w:val="575757"/>
                      <w:kern w:val="0"/>
                      <w:sz w:val="18"/>
                      <w:szCs w:val="18"/>
                      <w:u w:val="none"/>
                      <w:bdr w:val="none" w:color="auto" w:sz="0" w:space="0"/>
                      <w:lang w:val="en-US" w:eastAsia="zh-CN" w:bidi="ar"/>
                    </w:rPr>
                    <w:t>三、研究方向及初试科目</w:t>
                  </w:r>
                  <w:r>
                    <w:rPr>
                      <w:rFonts w:hint="eastAsia" w:ascii="宋体" w:hAnsi="宋体" w:eastAsia="宋体" w:cs="宋体"/>
                      <w:i w:val="0"/>
                      <w:color w:val="575757"/>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4098"/>
                    <w:gridCol w:w="6852"/>
                  </w:tblGrid>
                  <w:tr>
                    <w:tblPrEx>
                      <w:shd w:val="clear" w:color="auto" w:fill="CCCCCC"/>
                      <w:tblCellMar>
                        <w:top w:w="0" w:type="dxa"/>
                        <w:left w:w="0" w:type="dxa"/>
                        <w:bottom w:w="0" w:type="dxa"/>
                        <w:right w:w="0" w:type="dxa"/>
                      </w:tblCellMar>
                    </w:tblPrEx>
                    <w:trPr>
                      <w:tblCellSpacing w:w="7" w:type="dxa"/>
                    </w:trPr>
                    <w:tc>
                      <w:tcPr>
                        <w:tcW w:w="18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研究方向</w:t>
                        </w:r>
                      </w:p>
                    </w:tc>
                    <w:tc>
                      <w:tcPr>
                        <w:tcW w:w="31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1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1、金融工程与量化投资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2、大数据与金融科技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3、金融市场与金融管理</w:t>
                        </w:r>
                      </w:p>
                    </w:tc>
                    <w:tc>
                      <w:tcPr>
                        <w:tcW w:w="31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303数学三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431金融学综合</w:t>
                        </w:r>
                      </w:p>
                    </w:tc>
                  </w:tr>
                </w:tbl>
                <w:p>
                  <w:pPr>
                    <w:keepNext w:val="0"/>
                    <w:keepLines w:val="0"/>
                    <w:widowControl/>
                    <w:suppressLineNumbers w:val="0"/>
                    <w:jc w:val="left"/>
                  </w:pPr>
                  <w:r>
                    <w:rPr>
                      <w:rStyle w:val="5"/>
                      <w:rFonts w:hint="eastAsia" w:ascii="宋体" w:hAnsi="宋体" w:eastAsia="宋体" w:cs="宋体"/>
                      <w:i w:val="0"/>
                      <w:color w:val="575757"/>
                      <w:kern w:val="0"/>
                      <w:sz w:val="18"/>
                      <w:szCs w:val="18"/>
                      <w:u w:val="none"/>
                      <w:bdr w:val="none" w:color="auto" w:sz="0" w:space="0"/>
                      <w:lang w:val="en-US" w:eastAsia="zh-CN" w:bidi="ar"/>
                    </w:rPr>
                    <w:t>四、复试形式</w:t>
                  </w:r>
                  <w:r>
                    <w:rPr>
                      <w:rFonts w:hint="eastAsia" w:ascii="宋体" w:hAnsi="宋体" w:eastAsia="宋体" w:cs="宋体"/>
                      <w:i w:val="0"/>
                      <w:color w:val="575757"/>
                      <w:kern w:val="0"/>
                      <w:sz w:val="18"/>
                      <w:szCs w:val="18"/>
                      <w:u w:val="none"/>
                      <w:bdr w:val="none" w:color="auto" w:sz="0" w:space="0"/>
                      <w:lang w:val="en-US" w:eastAsia="zh-CN" w:bidi="ar"/>
                    </w:rPr>
                    <w:t>：笔试（满分200分）和面试（满分200分）。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5"/>
                      <w:rFonts w:hint="eastAsia" w:ascii="宋体" w:hAnsi="宋体" w:eastAsia="宋体" w:cs="宋体"/>
                      <w:i w:val="0"/>
                      <w:color w:val="575757"/>
                      <w:kern w:val="0"/>
                      <w:sz w:val="18"/>
                      <w:szCs w:val="18"/>
                      <w:u w:val="none"/>
                      <w:bdr w:val="none" w:color="auto" w:sz="0" w:space="0"/>
                      <w:lang w:val="en-US" w:eastAsia="zh-CN" w:bidi="ar"/>
                    </w:rPr>
                    <w:t>五、复试内容</w:t>
                  </w:r>
                  <w:r>
                    <w:rPr>
                      <w:rFonts w:hint="eastAsia" w:ascii="宋体" w:hAnsi="宋体" w:eastAsia="宋体" w:cs="宋体"/>
                      <w:i w:val="0"/>
                      <w:color w:val="575757"/>
                      <w:kern w:val="0"/>
                      <w:sz w:val="18"/>
                      <w:szCs w:val="18"/>
                      <w:u w:val="none"/>
                      <w:bdr w:val="none" w:color="auto" w:sz="0" w:space="0"/>
                      <w:lang w:val="en-US" w:eastAsia="zh-CN" w:bidi="ar"/>
                    </w:rPr>
                    <w:t>：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主要考察考生对本专业基本知识的掌握和理解、对本学科发展动态的了解以及在本专业领域发展的潜力等等。参加复试的考生可以提供能证明自身各种素质和潜能的材料。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笔试科目包括：（1）英语写作100分，（2）专业素质测试100分。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5"/>
                      <w:rFonts w:hint="eastAsia" w:ascii="宋体" w:hAnsi="宋体" w:eastAsia="宋体" w:cs="宋体"/>
                      <w:i w:val="0"/>
                      <w:color w:val="575757"/>
                      <w:kern w:val="0"/>
                      <w:sz w:val="18"/>
                      <w:szCs w:val="18"/>
                      <w:u w:val="none"/>
                      <w:bdr w:val="none" w:color="auto" w:sz="0" w:space="0"/>
                      <w:lang w:val="en-US" w:eastAsia="zh-CN" w:bidi="ar"/>
                    </w:rPr>
                    <w:t>六、复试成绩</w:t>
                  </w:r>
                  <w:r>
                    <w:rPr>
                      <w:rFonts w:hint="eastAsia" w:ascii="宋体" w:hAnsi="宋体" w:eastAsia="宋体" w:cs="宋体"/>
                      <w:i w:val="0"/>
                      <w:color w:val="575757"/>
                      <w:kern w:val="0"/>
                      <w:sz w:val="18"/>
                      <w:szCs w:val="18"/>
                      <w:u w:val="none"/>
                      <w:bdr w:val="none" w:color="auto" w:sz="0" w:space="0"/>
                      <w:lang w:val="en-US" w:eastAsia="zh-CN" w:bidi="ar"/>
                    </w:rPr>
                    <w:t>：满分100分。笔试满分200分，面试满分200分，复试成绩=（笔试成绩+面试成绩）÷4。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5"/>
                      <w:rFonts w:hint="eastAsia" w:ascii="宋体" w:hAnsi="宋体" w:eastAsia="宋体" w:cs="宋体"/>
                      <w:i w:val="0"/>
                      <w:color w:val="575757"/>
                      <w:kern w:val="0"/>
                      <w:sz w:val="18"/>
                      <w:szCs w:val="18"/>
                      <w:u w:val="none"/>
                      <w:bdr w:val="none" w:color="auto" w:sz="0" w:space="0"/>
                      <w:lang w:val="en-US" w:eastAsia="zh-CN" w:bidi="ar"/>
                    </w:rPr>
                    <w:t>七、最终成绩</w:t>
                  </w:r>
                  <w:r>
                    <w:rPr>
                      <w:rFonts w:hint="eastAsia" w:ascii="宋体" w:hAnsi="宋体" w:eastAsia="宋体" w:cs="宋体"/>
                      <w:i w:val="0"/>
                      <w:color w:val="575757"/>
                      <w:kern w:val="0"/>
                      <w:sz w:val="18"/>
                      <w:szCs w:val="18"/>
                      <w:u w:val="none"/>
                      <w:bdr w:val="none" w:color="auto" w:sz="0" w:space="0"/>
                      <w:lang w:val="en-US" w:eastAsia="zh-CN" w:bidi="ar"/>
                    </w:rPr>
                    <w:t>：满分100分。初试成绩不计政治，复试成绩占比50%，即最终成绩=（初试成绩【不计政治】÷4+复试成绩）÷2。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5"/>
                      <w:rFonts w:hint="eastAsia" w:ascii="宋体" w:hAnsi="宋体" w:eastAsia="宋体" w:cs="宋体"/>
                      <w:i w:val="0"/>
                      <w:color w:val="575757"/>
                      <w:kern w:val="0"/>
                      <w:sz w:val="18"/>
                      <w:szCs w:val="18"/>
                      <w:u w:val="none"/>
                      <w:bdr w:val="none" w:color="auto" w:sz="0" w:space="0"/>
                      <w:lang w:val="en-US" w:eastAsia="zh-CN" w:bidi="ar"/>
                    </w:rPr>
                    <w:t>八、录取</w:t>
                  </w:r>
                  <w:r>
                    <w:rPr>
                      <w:rFonts w:hint="eastAsia" w:ascii="宋体" w:hAnsi="宋体" w:eastAsia="宋体" w:cs="宋体"/>
                      <w:i w:val="0"/>
                      <w:color w:val="575757"/>
                      <w:kern w:val="0"/>
                      <w:sz w:val="18"/>
                      <w:szCs w:val="18"/>
                      <w:u w:val="none"/>
                      <w:bdr w:val="none" w:color="auto" w:sz="0" w:space="0"/>
                      <w:lang w:val="en-US" w:eastAsia="zh-CN" w:bidi="ar"/>
                    </w:rPr>
                    <w:t>：按最终成绩由高到低排序，提出拟录取名单报批。为保证招生质量，报批人数可小于招生计划。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5"/>
                      <w:rFonts w:hint="eastAsia" w:ascii="宋体" w:hAnsi="宋体" w:eastAsia="宋体" w:cs="宋体"/>
                      <w:i w:val="0"/>
                      <w:color w:val="575757"/>
                      <w:kern w:val="0"/>
                      <w:sz w:val="18"/>
                      <w:szCs w:val="18"/>
                      <w:u w:val="none"/>
                      <w:bdr w:val="none" w:color="auto" w:sz="0" w:space="0"/>
                      <w:lang w:val="en-US" w:eastAsia="zh-CN" w:bidi="ar"/>
                    </w:rPr>
                    <w:t>九、调剂</w:t>
                  </w:r>
                  <w:r>
                    <w:rPr>
                      <w:rFonts w:hint="eastAsia" w:ascii="宋体" w:hAnsi="宋体" w:eastAsia="宋体" w:cs="宋体"/>
                      <w:i w:val="0"/>
                      <w:color w:val="575757"/>
                      <w:kern w:val="0"/>
                      <w:sz w:val="18"/>
                      <w:szCs w:val="18"/>
                      <w:u w:val="none"/>
                      <w:bdr w:val="none" w:color="auto" w:sz="0" w:space="0"/>
                      <w:lang w:val="en-US" w:eastAsia="zh-CN" w:bidi="ar"/>
                    </w:rPr>
                    <w:t>：本专业在生源不足的情况下接受调剂。调剂信息将于复试阶段在中国科学技术大学研究生招生在线网站（http://yz.ustc.edu.cn）发布。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5"/>
                      <w:rFonts w:hint="eastAsia" w:ascii="宋体" w:hAnsi="宋体" w:eastAsia="宋体" w:cs="宋体"/>
                      <w:i w:val="0"/>
                      <w:color w:val="575757"/>
                      <w:kern w:val="0"/>
                      <w:sz w:val="18"/>
                      <w:szCs w:val="18"/>
                      <w:u w:val="none"/>
                      <w:bdr w:val="none" w:color="auto" w:sz="0" w:space="0"/>
                      <w:lang w:val="en-US" w:eastAsia="zh-CN" w:bidi="ar"/>
                    </w:rPr>
                    <w:t>十、办学地点</w:t>
                  </w:r>
                  <w:r>
                    <w:rPr>
                      <w:rFonts w:hint="eastAsia" w:ascii="宋体" w:hAnsi="宋体" w:eastAsia="宋体" w:cs="宋体"/>
                      <w:i w:val="0"/>
                      <w:color w:val="575757"/>
                      <w:kern w:val="0"/>
                      <w:sz w:val="18"/>
                      <w:szCs w:val="18"/>
                      <w:u w:val="none"/>
                      <w:bdr w:val="none" w:color="auto" w:sz="0" w:space="0"/>
                      <w:lang w:val="en-US" w:eastAsia="zh-CN" w:bidi="ar"/>
                    </w:rPr>
                    <w:t>：中国科学技术大学上海研究院（上海）,中国科学技术大学（合肥）。确认录取时，学生自选上课地点，必要时学院有权做出调整。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5"/>
                      <w:rFonts w:hint="eastAsia" w:ascii="宋体" w:hAnsi="宋体" w:eastAsia="宋体" w:cs="宋体"/>
                      <w:i w:val="0"/>
                      <w:color w:val="575757"/>
                      <w:kern w:val="0"/>
                      <w:sz w:val="18"/>
                      <w:szCs w:val="18"/>
                      <w:u w:val="none"/>
                      <w:bdr w:val="none" w:color="auto" w:sz="0" w:space="0"/>
                      <w:lang w:val="en-US" w:eastAsia="zh-CN" w:bidi="ar"/>
                    </w:rPr>
                    <w:t>十一、学费标准</w:t>
                  </w:r>
                  <w:r>
                    <w:rPr>
                      <w:rFonts w:hint="eastAsia" w:ascii="宋体" w:hAnsi="宋体" w:eastAsia="宋体" w:cs="宋体"/>
                      <w:i w:val="0"/>
                      <w:color w:val="575757"/>
                      <w:kern w:val="0"/>
                      <w:sz w:val="18"/>
                      <w:szCs w:val="18"/>
                      <w:u w:val="none"/>
                      <w:bdr w:val="none" w:color="auto" w:sz="0" w:space="0"/>
                      <w:lang w:val="en-US" w:eastAsia="zh-CN" w:bidi="ar"/>
                    </w:rPr>
                    <w:t>：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5"/>
                      <w:rFonts w:hint="eastAsia" w:ascii="宋体" w:hAnsi="宋体" w:eastAsia="宋体" w:cs="宋体"/>
                      <w:i w:val="0"/>
                      <w:color w:val="575757"/>
                      <w:kern w:val="0"/>
                      <w:sz w:val="18"/>
                      <w:szCs w:val="18"/>
                      <w:u w:val="none"/>
                      <w:bdr w:val="none" w:color="auto" w:sz="0" w:space="0"/>
                      <w:lang w:val="en-US" w:eastAsia="zh-CN" w:bidi="ar"/>
                    </w:rPr>
                    <w:t>1.普通MF项目</w:t>
                  </w:r>
                  <w:r>
                    <w:rPr>
                      <w:rFonts w:hint="eastAsia" w:ascii="宋体" w:hAnsi="宋体" w:eastAsia="宋体" w:cs="宋体"/>
                      <w:i w:val="0"/>
                      <w:color w:val="575757"/>
                      <w:kern w:val="0"/>
                      <w:sz w:val="18"/>
                      <w:szCs w:val="18"/>
                      <w:u w:val="none"/>
                      <w:bdr w:val="none" w:color="auto" w:sz="0" w:space="0"/>
                      <w:lang w:val="en-US" w:eastAsia="zh-CN" w:bidi="ar"/>
                    </w:rPr>
                    <w:t>：上海班学费14万元（第一、二学年初各缴7万元），合肥班学费12万元（第一、二学年初各缴6万元）。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5"/>
                      <w:rFonts w:hint="eastAsia" w:ascii="宋体" w:hAnsi="宋体" w:eastAsia="宋体" w:cs="宋体"/>
                      <w:i w:val="0"/>
                      <w:color w:val="575757"/>
                      <w:kern w:val="0"/>
                      <w:sz w:val="18"/>
                      <w:szCs w:val="18"/>
                      <w:u w:val="none"/>
                      <w:bdr w:val="none" w:color="auto" w:sz="0" w:space="0"/>
                      <w:lang w:val="en-US" w:eastAsia="zh-CN" w:bidi="ar"/>
                    </w:rPr>
                    <w:t>2.MF国际班</w:t>
                  </w:r>
                  <w:r>
                    <w:rPr>
                      <w:rFonts w:hint="eastAsia" w:ascii="宋体" w:hAnsi="宋体" w:eastAsia="宋体" w:cs="宋体"/>
                      <w:i w:val="0"/>
                      <w:color w:val="575757"/>
                      <w:kern w:val="0"/>
                      <w:sz w:val="18"/>
                      <w:szCs w:val="18"/>
                      <w:u w:val="none"/>
                      <w:bdr w:val="none" w:color="auto" w:sz="0" w:space="0"/>
                      <w:lang w:val="en-US" w:eastAsia="zh-CN" w:bidi="ar"/>
                    </w:rPr>
                    <w:t>：中国科学技术大学管理学院与美国伯克利加州大学Haas商学院、圣路易斯华盛顿大学Olin商学院、马里兰大学Smith商学院等世界名校商学院合作开办金融（量化金融、金融工程）硕士双学位项目。申请人需满足对方英语水平要求，通过对方录取审核和面试。参加国际班的学生在就读期间前往国外合作院校学习一年，合作双方互认部分学分（或者减免部分预修课程要求）。学生除需支付中国科学技术大学管理学院MF项目学费（学费额、具体缴纳方式同“普通MF项目”），另需一次缴清国外合作项目学费，具体学费标准参见其官方网站。达到双方学位项目的学业要求，并通过中国科学技术大学学位论文答辩者，授予双方学校的学位和学历证书。</w:t>
                  </w:r>
                </w:p>
              </w:tc>
            </w:tr>
          </w:tbl>
          <w:p>
            <w:pPr>
              <w:jc w:val="center"/>
              <w:rPr>
                <w:rFonts w:hint="eastAsia" w:ascii="微软雅黑" w:hAnsi="微软雅黑" w:eastAsia="微软雅黑" w:cs="微软雅黑"/>
                <w:i w:val="0"/>
                <w:caps w:val="0"/>
                <w:color w:val="000000"/>
                <w:spacing w:val="0"/>
                <w:sz w:val="27"/>
                <w:szCs w:val="27"/>
              </w:rPr>
            </w:pPr>
          </w:p>
        </w:tc>
      </w:tr>
    </w:tbl>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学科专业名称：工商管理（全日制）</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5"/>
                      <w:rFonts w:hint="eastAsia" w:ascii="宋体" w:hAnsi="宋体" w:eastAsia="宋体" w:cs="宋体"/>
                      <w:i w:val="0"/>
                      <w:color w:val="003399"/>
                      <w:kern w:val="0"/>
                      <w:sz w:val="18"/>
                      <w:szCs w:val="18"/>
                      <w:u w:val="none"/>
                      <w:bdr w:val="none" w:color="auto" w:sz="0" w:space="0"/>
                      <w:lang w:val="en-US" w:eastAsia="zh-CN" w:bidi="ar"/>
                    </w:rPr>
                    <w:t>125100)</w:t>
                  </w:r>
                </w:p>
              </w:tc>
            </w:tr>
            <w:tr>
              <w:tblPrEx>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：国民教育序列博士、硕士毕业2年，本科毕业3年或专科毕业5年以上；</w:t>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全脱产在校学习。</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中国科大管理学院于2014年11月顺利通过了国际精英商学院(AACSB)认证。成为全球首家按2013版标准认证并通过，同时也是中国大陆前10所通过国际精英商学院(AACSB)认证的学院。2016年3月管理学院顺利通过AMBA国际认证并获得五年（最长的）认证周期。管理学院MBA教育开始于1998年，已累计招收MBA研究生8500余人。2010年10月中国科大经教育部批准成为全国首批MBA教育综合改革试点院校；2013年4月中国科大以优异成绩通过MBA教育综合改革试点工作验收；2012年12月中国科大MBA教育综合改革成果获安徽省教学成果特等奖；2014年7月中国科大MBA教育创新改革成果获国家级教学成果二等奖。教学质量不断提高，品牌影响力不断扩大，毕业生遍布全国各地，很多毕业生走上了更高级领导和管理岗位，收入水平和职业声望显著提升，获得社会的广泛好评。</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培养目标：依据中国科大管理学院“创造管理思想与工具，培养管理英才与领袖”之使命和“创一流成果服务中国，育一流人才建设中国”之愿景，中国科大MBA教育项目致力于培养熟练掌握工商管理知识和定量分析工具，具有良好沟通能力、理论应用能力和领导能力以及良好职业道德和责任意识的企业家和职业经理人。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培养方式：采取“四位一体”的培养模式——课堂教学、课下演练、课后实践和在岗提升。其中课堂教学包括理论教学、案例教学和企业家实战教学；课下演练包括学员经验分享、知识分享、三大赛以及各类经营管理大赛；课后实践包括企业参观与座谈、移动课堂、企业实习和企业咨询；在岗提升包括结合企业实际撰写毕业论文、鼓励和指导学员自主创业。</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主要招收具有一定管理基础和经历、远大职业理想和社会责任、较好的管理者潜资和出色学习能力的考生。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5310"/>
              <w:gridCol w:w="5640"/>
            </w:tblGrid>
            <w:tr>
              <w:tblPrEx>
                <w:shd w:val="clear" w:color="auto" w:fill="CCCCCC"/>
                <w:tblCellMar>
                  <w:top w:w="0" w:type="dxa"/>
                  <w:left w:w="0" w:type="dxa"/>
                  <w:bottom w:w="0" w:type="dxa"/>
                  <w:right w:w="0" w:type="dxa"/>
                </w:tblCellMar>
              </w:tblPrEx>
              <w:trPr>
                <w:tblCellSpacing w:w="7" w:type="dxa"/>
              </w:trPr>
              <w:tc>
                <w:tcPr>
                  <w:tcW w:w="24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研究方向</w:t>
                  </w:r>
                </w:p>
              </w:tc>
              <w:tc>
                <w:tcPr>
                  <w:tcW w:w="25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24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1、(全日制)MBA国际班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2、(全日制)MBA中文班</w:t>
                  </w:r>
                </w:p>
              </w:tc>
              <w:tc>
                <w:tcPr>
                  <w:tcW w:w="2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199管理类联考综合能力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204英语二</w:t>
                  </w:r>
                </w:p>
              </w:tc>
            </w:tr>
          </w:tbl>
          <w:p>
            <w:pPr>
              <w:keepNext w:val="0"/>
              <w:keepLines w:val="0"/>
              <w:widowControl/>
              <w:suppressLineNumbers w:val="0"/>
              <w:jc w:val="left"/>
            </w:pP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：面试+背景审核。</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1）审核《面试申请书》；</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2）面试内容：政治理论、英语应用能力、专业知识与基础等。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3）考察专业素质和综合素质两个方面，注重MBA考生能力和素质及潜力的考核。</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满分100分。复试成绩=（背景（满分100分）+面试（满分200分））÷3。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满分100分，复试成绩占比50%，即最终成绩=（初试总分÷3+复试成绩）÷2。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学校自主划定各项目复试分数线：1.全日制MBA中文班和非全日制MBA班复试分数线；2.非全日制MBA全球班复试分数线；3.全日制MBA国际班和非全日制EMBA复试分数线。分项目分别录取；各项目录取实行第一研究方向（项目）志愿优先、择优录取，生源充足适当提高复试差额，生源不足接收调剂的办法，根据最后指标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十、修业年限：</w:t>
            </w:r>
            <w:r>
              <w:rPr>
                <w:rFonts w:hint="eastAsia" w:ascii="宋体" w:hAnsi="宋体" w:eastAsia="宋体" w:cs="宋体"/>
                <w:i w:val="0"/>
                <w:caps w:val="0"/>
                <w:color w:val="575757"/>
                <w:spacing w:val="0"/>
                <w:kern w:val="0"/>
                <w:sz w:val="18"/>
                <w:szCs w:val="18"/>
                <w:u w:val="none"/>
                <w:bdr w:val="none" w:color="auto" w:sz="0" w:space="0"/>
                <w:lang w:val="en-US" w:eastAsia="zh-CN" w:bidi="ar"/>
              </w:rPr>
              <w:t>基本学制二年。学分五年有效。</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十一、学费标准（暂定，以正式公布为准，不会高于本暂定标准）：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全日制MBA：学费总额人民币15.5万元。入学二年内按期获得学位学费减免2万元，延期获得学位不享受学费减免。学费分次缴清（第一学年初缴纳6.8万元，第二学年初缴纳6.7万元，第三学年初缴纳2万元）。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十二、办学地点：</w:t>
            </w:r>
            <w:r>
              <w:rPr>
                <w:rFonts w:hint="eastAsia" w:ascii="宋体" w:hAnsi="宋体" w:eastAsia="宋体" w:cs="宋体"/>
                <w:i w:val="0"/>
                <w:caps w:val="0"/>
                <w:color w:val="575757"/>
                <w:spacing w:val="0"/>
                <w:kern w:val="0"/>
                <w:sz w:val="18"/>
                <w:szCs w:val="18"/>
                <w:u w:val="none"/>
                <w:bdr w:val="none" w:color="auto" w:sz="0" w:space="0"/>
                <w:lang w:val="en-US" w:eastAsia="zh-CN" w:bidi="ar"/>
              </w:rPr>
              <w:t>中国科大校本部（合肥）</w:t>
            </w:r>
          </w:p>
        </w:tc>
      </w:tr>
    </w:tbl>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学科专业名称：物流工程与管理</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5"/>
                      <w:rFonts w:hint="eastAsia" w:ascii="宋体" w:hAnsi="宋体" w:eastAsia="宋体" w:cs="宋体"/>
                      <w:i w:val="0"/>
                      <w:color w:val="003399"/>
                      <w:kern w:val="0"/>
                      <w:sz w:val="18"/>
                      <w:szCs w:val="18"/>
                      <w:u w:val="none"/>
                      <w:bdr w:val="none" w:color="auto" w:sz="0" w:space="0"/>
                      <w:lang w:val="en-US" w:eastAsia="zh-CN" w:bidi="ar"/>
                    </w:rPr>
                    <w:t>125604)</w:t>
                  </w:r>
                </w:p>
              </w:tc>
            </w:tr>
            <w:tr>
              <w:tblPrEx>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：本专业只接收联考生（全日制专业学位培养）。</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本专业2020招生年度起属于工程管理1256专业学位下的领域。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物流业除了传统的仓储、运输、配送外，逐渐和信息化、金融、高科技等领域结合，深入到社会生活的各个方面。随着我国经济的快速发展，物流业面临前所未有的发展机遇，高级物流管理人才的需求日益增加。物流工程硕士是专业性学位，强调理论和实际的紧密结合。我院物流工程硕士专业依托管理科学与工程、工商管理学科雄厚的研究实力，旨在培养具有深厚数理功底、了解国内外学科前沿、理论联系实际的复合型人才。学生毕业后，可以胜任政府物流规划与管理部门、物流企业、企业物流中高级岗位的工作。</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5475"/>
              <w:gridCol w:w="5475"/>
            </w:tblGrid>
            <w:tr>
              <w:tblPrEx>
                <w:shd w:val="clear" w:color="auto" w:fill="CCCCCC"/>
              </w:tblPrEx>
              <w:trPr>
                <w:tblCellSpacing w:w="7" w:type="dxa"/>
              </w:trPr>
              <w:tc>
                <w:tcPr>
                  <w:tcW w:w="2500" w:type="pct"/>
                  <w:shd w:val="clear" w:color="auto" w:fill="193F8A"/>
                  <w:vAlign w:val="center"/>
                </w:tcPr>
                <w:p>
                  <w:pPr>
                    <w:keepNext w:val="0"/>
                    <w:keepLines w:val="0"/>
                    <w:widowControl/>
                    <w:suppressLineNumbers w:val="0"/>
                    <w:shd w:val="clear" w:fill="193F8A"/>
                    <w:jc w:val="left"/>
                  </w:pPr>
                  <w:r>
                    <w:rPr>
                      <w:rStyle w:val="5"/>
                      <w:rFonts w:hint="eastAsia" w:ascii="宋体" w:hAnsi="宋体" w:eastAsia="宋体" w:cs="宋体"/>
                      <w:b/>
                      <w:i w:val="0"/>
                      <w:color w:val="FFFFFF"/>
                      <w:kern w:val="0"/>
                      <w:sz w:val="18"/>
                      <w:szCs w:val="18"/>
                      <w:u w:val="none"/>
                      <w:bdr w:val="none" w:color="auto" w:sz="0" w:space="0"/>
                      <w:lang w:val="en-US" w:eastAsia="zh-CN" w:bidi="ar"/>
                    </w:rPr>
                    <w:t>研究方向</w:t>
                  </w:r>
                </w:p>
              </w:tc>
              <w:tc>
                <w:tcPr>
                  <w:tcW w:w="2500" w:type="pct"/>
                  <w:shd w:val="clear" w:color="auto" w:fill="193F8A"/>
                  <w:vAlign w:val="center"/>
                </w:tcPr>
                <w:p>
                  <w:pPr>
                    <w:pStyle w:val="2"/>
                    <w:keepNext w:val="0"/>
                    <w:keepLines w:val="0"/>
                    <w:widowControl/>
                    <w:suppressLineNumbers w:val="0"/>
                    <w:pBdr>
                      <w:top w:val="none" w:color="auto" w:sz="0" w:space="0"/>
                      <w:left w:val="none" w:color="auto" w:sz="0" w:space="0"/>
                      <w:bottom w:val="none" w:color="auto" w:sz="0" w:space="0"/>
                    </w:pBdr>
                    <w:spacing w:before="0" w:beforeAutospacing="1" w:after="0" w:afterAutospacing="1" w:line="330" w:lineRule="atLeast"/>
                    <w:ind w:left="0" w:right="0"/>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sz w:val="18"/>
                      <w:szCs w:val="18"/>
                      <w:u w:val="none"/>
                      <w:bdr w:val="none" w:color="auto" w:sz="0" w:space="0"/>
                    </w:rPr>
                    <w:t>初试科目</w:t>
                  </w:r>
                </w:p>
              </w:tc>
            </w:tr>
            <w:tr>
              <w:tblPrEx>
                <w:tblCellMar>
                  <w:top w:w="0" w:type="dxa"/>
                  <w:left w:w="0" w:type="dxa"/>
                  <w:bottom w:w="0" w:type="dxa"/>
                  <w:right w:w="0" w:type="dxa"/>
                </w:tblCellMar>
              </w:tblPrEx>
              <w:trPr>
                <w:tblCellSpacing w:w="7" w:type="dxa"/>
              </w:trPr>
              <w:tc>
                <w:tcPr>
                  <w:tcW w:w="2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1、区域物流系统的规划与设计</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2、物流系统优化建模</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3、物流企业管理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4、物流信息系统开发</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5、企业物流系统规划与设计</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6、物流金融</w:t>
                  </w:r>
                </w:p>
              </w:tc>
              <w:tc>
                <w:tcPr>
                  <w:tcW w:w="2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199管理类联考综合能力</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204英语二</w:t>
                  </w:r>
                </w:p>
              </w:tc>
            </w:tr>
          </w:tbl>
          <w:p>
            <w:pPr>
              <w:keepNext w:val="0"/>
              <w:keepLines w:val="0"/>
              <w:widowControl/>
              <w:suppressLineNumbers w:val="0"/>
              <w:jc w:val="left"/>
            </w:pP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：笔试+面试。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包括专业素质和综合素质两个方面，考察考生对本专业理论知识掌握程度，特别考察考生对本专业基本知识和基本概念的掌握和理解、对本学科发展动态的了解以及在本专业领域发展的潜力等等。参加复试的考生可提供可以证明自身各种素质和潜能的各种材料。</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笔试科目包括：（1）英语写作100分；（2）物流工程基础知识100分。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面试成绩：满分100分。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：满分100分。复试总成绩=（笔试成绩+面试成绩）÷3。</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：满分100分。复试成绩占比50%，即最终成绩=（初试成绩÷3+复试成绩）÷2。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学科专业名称：管理科学与工程</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5"/>
                      <w:rFonts w:hint="eastAsia" w:ascii="宋体" w:hAnsi="宋体" w:eastAsia="宋体" w:cs="宋体"/>
                      <w:i w:val="0"/>
                      <w:color w:val="003399"/>
                      <w:kern w:val="0"/>
                      <w:sz w:val="18"/>
                      <w:szCs w:val="18"/>
                      <w:u w:val="none"/>
                      <w:bdr w:val="none" w:color="auto" w:sz="0" w:space="0"/>
                      <w:lang w:val="en-US" w:eastAsia="zh-CN" w:bidi="ar"/>
                    </w:rPr>
                    <w:t>120100)</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：本专业接收推免生及统考生。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我院管理科学与工程专业为国家一级重点（培育）学科，学院拥有一支包括教育部长江学者特聘教授、国家杰出青年科学基金获得者和中国科学院“百人计划”特聘教授在内的高水平的师资队伍，以及一个国家自然科学基金委创新研究群体。</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学科培养具有现代科技背景、有较强适应能力，在管理科学与工程领域具有坚实的理论基础和应用技能的高层次人才。学位获得者应了解本学科发展前沿和动态，具有独立开展本学科科学研究工作的能力，满足管理科学、政府经济管理、大中型企业管理、金融管理、风险管理等方面的理论研究和务实工作的人才需求。</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5475"/>
              <w:gridCol w:w="5475"/>
            </w:tblGrid>
            <w:tr>
              <w:tblPrEx>
                <w:tblCellMar>
                  <w:top w:w="0" w:type="dxa"/>
                  <w:left w:w="0" w:type="dxa"/>
                  <w:bottom w:w="0" w:type="dxa"/>
                  <w:right w:w="0" w:type="dxa"/>
                </w:tblCellMar>
              </w:tblPrEx>
              <w:trPr>
                <w:tblCellSpacing w:w="7" w:type="dxa"/>
              </w:trPr>
              <w:tc>
                <w:tcPr>
                  <w:tcW w:w="2500" w:type="pct"/>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研究方向</w:t>
                  </w:r>
                </w:p>
              </w:tc>
              <w:tc>
                <w:tcPr>
                  <w:tcW w:w="2500" w:type="pct"/>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2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1、智能决策</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2、智能制造</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3、金融智能</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4、市场智能</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5、智能信息处理</w:t>
                  </w:r>
                </w:p>
              </w:tc>
              <w:tc>
                <w:tcPr>
                  <w:tcW w:w="2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301数学一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818管理学与运筹学或866运筹学与微观经济学</w:t>
                  </w:r>
                </w:p>
              </w:tc>
            </w:tr>
          </w:tbl>
          <w:p>
            <w:pPr>
              <w:keepNext w:val="0"/>
              <w:keepLines w:val="0"/>
              <w:widowControl/>
              <w:suppressLineNumbers w:val="0"/>
              <w:jc w:val="left"/>
            </w:pP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：笔试+面试。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包括专业素质和综合素质两个方面，考察考生对本专业理论知识掌握程度，特别考察考生对本专业基本知识和基本概念的掌握和理解、对本学科发展动态的了解以及在本专业领域发展的潜力等等。参加复试的考生可提供可以证明自身各种素质和潜能的各种材料。</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笔试科目包括：（1）英语写作50分；（2）Matlab编程（手写代码）50分；（3）管理科学基础知识100分。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面试成绩：满分200分。（含专业经典文献阅读汇报环节）</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：满分100分。复试总成绩=（笔试成绩+面试成绩）÷4。</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：满分100分。初试成绩不计政治，复试成绩占比50%，即最终成绩=（初试成绩【不计政治】÷4+复试成绩）÷2。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学科专业名称：工商管理</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5"/>
                      <w:rFonts w:hint="eastAsia" w:ascii="宋体" w:hAnsi="宋体" w:eastAsia="宋体" w:cs="宋体"/>
                      <w:i w:val="0"/>
                      <w:color w:val="003399"/>
                      <w:kern w:val="0"/>
                      <w:sz w:val="18"/>
                      <w:szCs w:val="18"/>
                      <w:u w:val="none"/>
                      <w:bdr w:val="none" w:color="auto" w:sz="0" w:space="0"/>
                      <w:lang w:val="en-US" w:eastAsia="zh-CN" w:bidi="ar"/>
                    </w:rPr>
                    <w:t>120200）</w:t>
                  </w:r>
                </w:p>
              </w:tc>
            </w:tr>
            <w:tr>
              <w:tblPrEx>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：本专业接收推免生及统考生。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该一级学科下涵盖的二级学科专业有：企业管理、金融学、财务管理、市场营销、运营管理、技术经济及管理等。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学科培养通晓国内外企业经营管理理论与实务，能够为中国企业提高竞争力服务的、德才兼备的、高素质、高层次的管理研究人才、职业经理人和高素质金融专业人才。本学科强调理论与实践的紧密结合，在重视企业管理基础理论与方法的同时，要求研究生了解金融务实，掌握与企业经营管理相关的经济、金融、法律等方面的知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3877"/>
              <w:gridCol w:w="7073"/>
            </w:tblGrid>
            <w:tr>
              <w:tblPrEx>
                <w:shd w:val="clear" w:color="auto" w:fill="CCCCCC"/>
                <w:tblCellMar>
                  <w:top w:w="0" w:type="dxa"/>
                  <w:left w:w="0" w:type="dxa"/>
                  <w:bottom w:w="0" w:type="dxa"/>
                  <w:right w:w="0" w:type="dxa"/>
                </w:tblCellMar>
              </w:tblPrEx>
              <w:trPr>
                <w:tblCellSpacing w:w="7" w:type="dxa"/>
              </w:trPr>
              <w:tc>
                <w:tcPr>
                  <w:tcW w:w="1750" w:type="pct"/>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研究方向</w:t>
                  </w:r>
                </w:p>
              </w:tc>
              <w:tc>
                <w:tcPr>
                  <w:tcW w:w="3200" w:type="pct"/>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1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1、技术创新管理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2、创业管理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3、创新创业人力资源管理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4、创新创业战略与风险管理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5、营销管理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6、财会与金融管理</w:t>
                  </w:r>
                </w:p>
              </w:tc>
              <w:tc>
                <w:tcPr>
                  <w:tcW w:w="32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301数学一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817管理学与微观经济学</w:t>
                  </w:r>
                </w:p>
              </w:tc>
            </w:tr>
          </w:tbl>
          <w:p>
            <w:pPr>
              <w:keepNext w:val="0"/>
              <w:keepLines w:val="0"/>
              <w:widowControl/>
              <w:suppressLineNumbers w:val="0"/>
              <w:jc w:val="left"/>
            </w:pP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：笔试+面试。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包括专业素质和综合素质两个方面，考察考生对本专业理论知识掌握程度，特别考察考生对本专业基本知识和基本概念的掌握和理解、对本学科发展动态的了解以及在本专业领域发展的潜力等等。参加复试的考生可提供可以证明自身各种素质和潜能的各种材料。</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笔试科目包括：（1）英语写作100分；（2）工商管理基础知识100分。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面试成绩：满分200分。（含专业经典文献阅读汇报环节）</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：满分100分。复试总成绩=（笔试成绩+面试成绩）÷4。</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：满分100分。初试成绩不计政治，复试成绩占比50%，即最终成绩=（初试成绩【不计政治】÷4+复试成绩）÷2。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5"/>
              <w:gridCol w:w="1005"/>
              <w:gridCol w:w="1425"/>
              <w:gridCol w:w="2025"/>
              <w:gridCol w:w="342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学科专业名称：项目管理</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5"/>
                      <w:rFonts w:hint="eastAsia" w:ascii="宋体" w:hAnsi="宋体" w:eastAsia="宋体" w:cs="宋体"/>
                      <w:i w:val="0"/>
                      <w:color w:val="003399"/>
                      <w:kern w:val="0"/>
                      <w:sz w:val="18"/>
                      <w:szCs w:val="18"/>
                      <w:u w:val="none"/>
                      <w:bdr w:val="none" w:color="auto" w:sz="0" w:space="0"/>
                      <w:lang w:val="en-US" w:eastAsia="zh-CN" w:bidi="ar"/>
                    </w:rPr>
                    <w:t>125602)</w:t>
                  </w:r>
                </w:p>
              </w:tc>
            </w:tr>
            <w:tr>
              <w:tblPrEx>
                <w:tblCellMar>
                  <w:top w:w="0" w:type="dxa"/>
                  <w:left w:w="0" w:type="dxa"/>
                  <w:bottom w:w="0" w:type="dxa"/>
                  <w:right w:w="0" w:type="dxa"/>
                </w:tblCellMar>
              </w:tblPrEx>
              <w:trPr>
                <w:trHeight w:val="30" w:hRule="atLeast"/>
                <w:tblCellSpacing w:w="15" w:type="dxa"/>
                <w:jc w:val="center"/>
              </w:trPr>
              <w:tc>
                <w:tcPr>
                  <w:tcW w:w="3180" w:type="dxa"/>
                  <w:shd w:val="clear"/>
                  <w:vAlign w:val="center"/>
                </w:tcPr>
                <w:p>
                  <w:pPr>
                    <w:rPr>
                      <w:rFonts w:hint="eastAsia" w:ascii="宋体"/>
                      <w:sz w:val="24"/>
                      <w:szCs w:val="24"/>
                    </w:rPr>
                  </w:pPr>
                </w:p>
              </w:tc>
              <w:tc>
                <w:tcPr>
                  <w:tcW w:w="975" w:type="dxa"/>
                  <w:shd w:val="clear"/>
                  <w:vAlign w:val="center"/>
                </w:tcPr>
                <w:p>
                  <w:pPr>
                    <w:rPr>
                      <w:rFonts w:hint="eastAsia" w:ascii="宋体"/>
                      <w:sz w:val="24"/>
                      <w:szCs w:val="24"/>
                    </w:rPr>
                  </w:pPr>
                </w:p>
              </w:tc>
              <w:tc>
                <w:tcPr>
                  <w:tcW w:w="1395" w:type="dxa"/>
                  <w:shd w:val="clear"/>
                  <w:vAlign w:val="center"/>
                </w:tcPr>
                <w:p>
                  <w:pPr>
                    <w:rPr>
                      <w:rFonts w:hint="eastAsia" w:ascii="宋体"/>
                      <w:sz w:val="24"/>
                      <w:szCs w:val="24"/>
                    </w:rPr>
                  </w:pPr>
                </w:p>
              </w:tc>
              <w:tc>
                <w:tcPr>
                  <w:tcW w:w="1995" w:type="dxa"/>
                  <w:shd w:val="clear"/>
                  <w:vAlign w:val="center"/>
                </w:tcPr>
                <w:p>
                  <w:pPr>
                    <w:rPr>
                      <w:rFonts w:hint="eastAsia" w:ascii="宋体"/>
                      <w:sz w:val="24"/>
                      <w:szCs w:val="24"/>
                    </w:rPr>
                  </w:pPr>
                </w:p>
              </w:tc>
              <w:tc>
                <w:tcPr>
                  <w:tcW w:w="337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项目管理硕士（MPM）报考条件：国民教育序列本科毕业3年及以上；</w:t>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非全日制在职培养。</w:t>
            </w:r>
            <w:r>
              <w:rPr>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项目管理硕士（Master of Project Management, 简称MPM）教育致力于培养从事项目决策、计划、实施、评估等项目全寿命期管理工作的复合型、应用型高级工程管理人才。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培养目标：为公共组织、科研机构和各类工程领域的大型企业培养高层次项目团队的领导。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复试安排：全面实行资格预审和提前面试。未通过资格审核或提前面试成绩未达标考生请不要报考我校项目管理（代码：125602）。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本项目提前面试申请者须拥有较为丰富的项目管理经验，且经考生所在单位同意，并符合以下要求之一</w:t>
            </w:r>
            <w:r>
              <w:rPr>
                <w:rFonts w:hint="eastAsia" w:ascii="宋体" w:hAnsi="宋体" w:eastAsia="宋体" w:cs="宋体"/>
                <w:i w:val="0"/>
                <w:caps w:val="0"/>
                <w:color w:val="575757"/>
                <w:spacing w:val="0"/>
                <w:kern w:val="0"/>
                <w:sz w:val="18"/>
                <w:szCs w:val="18"/>
                <w:u w:val="none"/>
                <w:bdr w:val="none" w:color="auto" w:sz="0" w:space="0"/>
                <w:lang w:val="en-US" w:eastAsia="zh-CN" w:bidi="ar"/>
              </w:rPr>
              <w:t>：1.获得过单位以上优秀表彰者；2.参与过的项目获得行业或市级以上荣誉称号；3.编制过相关项目管理方案或撰写过相关技术及研究报告；4.参与过重大项目的管理工作（须有单位证明）；5.为单位业务骨干或重点培养对象（须有单位证明）。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5420"/>
              <w:gridCol w:w="5530"/>
            </w:tblGrid>
            <w:tr>
              <w:tblPrEx>
                <w:tblCellMar>
                  <w:top w:w="0" w:type="dxa"/>
                  <w:left w:w="0" w:type="dxa"/>
                  <w:bottom w:w="0" w:type="dxa"/>
                  <w:right w:w="0" w:type="dxa"/>
                </w:tblCellMar>
              </w:tblPrEx>
              <w:trPr>
                <w:tblCellSpacing w:w="7" w:type="dxa"/>
              </w:trPr>
              <w:tc>
                <w:tcPr>
                  <w:tcW w:w="24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研究方向</w:t>
                  </w:r>
                </w:p>
              </w:tc>
              <w:tc>
                <w:tcPr>
                  <w:tcW w:w="25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初试科目</w:t>
                  </w:r>
                </w:p>
              </w:tc>
            </w:tr>
            <w:tr>
              <w:tblPrEx>
                <w:tblCellMar>
                  <w:top w:w="0" w:type="dxa"/>
                  <w:left w:w="0" w:type="dxa"/>
                  <w:bottom w:w="0" w:type="dxa"/>
                  <w:right w:w="0" w:type="dxa"/>
                </w:tblCellMar>
              </w:tblPrEx>
              <w:trPr>
                <w:tblCellSpacing w:w="7" w:type="dxa"/>
              </w:trPr>
              <w:tc>
                <w:tcPr>
                  <w:tcW w:w="24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1、(非全日制)项目咨询</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2、(非全日制)项目监理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3、(非全日制)项目评价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4、(非全日制)项目全生命周期管理</w:t>
                  </w:r>
                </w:p>
              </w:tc>
              <w:tc>
                <w:tcPr>
                  <w:tcW w:w="2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199管理类联考综合能力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204英语二</w:t>
                  </w:r>
                </w:p>
              </w:tc>
            </w:tr>
          </w:tbl>
          <w:p>
            <w:pPr>
              <w:keepNext w:val="0"/>
              <w:keepLines w:val="0"/>
              <w:widowControl/>
              <w:suppressLineNumbers w:val="0"/>
              <w:jc w:val="left"/>
            </w:pP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：面试+背景审核。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1）审核《面试申请书》；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2）面试内容：政治理论、英语应用能力、专业知识与基础等。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3）考察专业素质和综合素质两个方面，注重考生能力和素质及潜力的考核。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满分100分。复试成绩=（背景（满分100分）+面试（满分200分））÷3。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满分100分，复试成绩占比50%，即最终成绩=（初试总分÷3+复试成绩）÷2。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：学校自主划定各项目复试分数线。根据最后指标提出拟录取名单报批。为保证招生质量，报批人数可小于招生计划。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九、上课方式</w:t>
            </w:r>
            <w:r>
              <w:rPr>
                <w:rFonts w:hint="eastAsia" w:ascii="宋体" w:hAnsi="宋体" w:eastAsia="宋体" w:cs="宋体"/>
                <w:i w:val="0"/>
                <w:caps w:val="0"/>
                <w:color w:val="575757"/>
                <w:spacing w:val="0"/>
                <w:kern w:val="0"/>
                <w:sz w:val="18"/>
                <w:szCs w:val="18"/>
                <w:u w:val="none"/>
                <w:bdr w:val="none" w:color="auto" w:sz="0" w:space="0"/>
                <w:lang w:val="en-US" w:eastAsia="zh-CN" w:bidi="ar"/>
              </w:rPr>
              <w:t>：周末上课。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十、修业年限：</w:t>
            </w:r>
            <w:r>
              <w:rPr>
                <w:rFonts w:hint="eastAsia" w:ascii="宋体" w:hAnsi="宋体" w:eastAsia="宋体" w:cs="宋体"/>
                <w:i w:val="0"/>
                <w:caps w:val="0"/>
                <w:color w:val="575757"/>
                <w:spacing w:val="0"/>
                <w:kern w:val="0"/>
                <w:sz w:val="18"/>
                <w:szCs w:val="18"/>
                <w:u w:val="none"/>
                <w:bdr w:val="none" w:color="auto" w:sz="0" w:space="0"/>
                <w:lang w:val="en-US" w:eastAsia="zh-CN" w:bidi="ar"/>
              </w:rPr>
              <w:t>基本学制三年。学分五年有效。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十一、学费标准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：学费总额人民币8万元。学费分次缴清（第一学年初缴纳4万元，第二学年初缴纳4万元）。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十二、办学地点：</w:t>
            </w:r>
            <w:r>
              <w:rPr>
                <w:rFonts w:hint="eastAsia" w:ascii="宋体" w:hAnsi="宋体" w:eastAsia="宋体" w:cs="宋体"/>
                <w:i w:val="0"/>
                <w:caps w:val="0"/>
                <w:color w:val="575757"/>
                <w:spacing w:val="0"/>
                <w:kern w:val="0"/>
                <w:sz w:val="18"/>
                <w:szCs w:val="18"/>
                <w:u w:val="none"/>
                <w:bdr w:val="none" w:color="auto" w:sz="0" w:space="0"/>
                <w:lang w:val="en-US" w:eastAsia="zh-CN" w:bidi="ar"/>
              </w:rPr>
              <w:t>中国科大校本部（合肥）</w:t>
            </w:r>
          </w:p>
        </w:tc>
      </w:tr>
    </w:tbl>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学科专业名称：工商管理（非全日制）</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5"/>
                      <w:rFonts w:hint="eastAsia" w:ascii="宋体" w:hAnsi="宋体" w:eastAsia="宋体" w:cs="宋体"/>
                      <w:i w:val="0"/>
                      <w:color w:val="003399"/>
                      <w:kern w:val="0"/>
                      <w:sz w:val="18"/>
                      <w:szCs w:val="18"/>
                      <w:u w:val="none"/>
                      <w:bdr w:val="none" w:color="auto" w:sz="0" w:space="0"/>
                      <w:lang w:val="en-US" w:eastAsia="zh-CN" w:bidi="ar"/>
                    </w:rPr>
                    <w:t>125100）</w:t>
                  </w:r>
                </w:p>
              </w:tc>
            </w:tr>
            <w:tr>
              <w:tblPrEx>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工商管理硕士（MBA）报考条件：国民教育序列博士、硕士毕业2年，本科毕业3年或专科毕业5年以上；</w:t>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在职培养。</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高级管理人员工商管理硕士（EMBA）报考条件：国民教育序列大学本科或以上学历，具有五年以上（含五年）全职工作经验，其中包括三年以上（含三年）管理工作经验，较大规模企业的现职中高层管理者及中小企业创业者；国民教育序列专科学历，具有七年以上（含七年）全职工作经验，其中包括三年以上（含三年）管理工作经验，较大规模企业的优秀现职中高层管理者及中小企业创业者；在职培养。</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中国科大管理学院于2014年11月顺利通过了国际精英商学院(AACSB)认证。成为全球首家按2013版标准认证并通过，同时也是中国大陆前10所通过国际精英商学院(AACSB)认证的学院。2016年3月管理学院顺利通过AMBA国际认证并获得五年（最长的）认证周期。管理学院MBA教育开始于1998年，已累计招收MBA 、EMBA 近10000人。2010年10月中国科大经教育部批准成为全国首批MBA教育综合改革试点院校；2013年4月中国科大以优异成绩通过MBA教育综合改革试点工作验收；2012年12月中国科大MBA教育综合改革成果获安徽省教学成果特等奖；2014年7月中国科大MBA教育创新改革成果获国家级教学成果二等奖。教学质量不断提高，品牌影响力不断扩大，毕业生遍布全国各地，很多毕业生走上了更高级领导和管理岗位，收入水平和职业声望显著提升，获得社会的广泛好评。</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培养目标：依据中国科大管理学院“创造管理思想与工具，培养管理英才与领袖”之使命和“创一流成果服务中国，育一流人才建设中国”之愿景，中国科大MBA教育项目致力于培养熟练掌握工商管理知识和定量分析工具，具有良好沟通能力、理论应用能力和领导能力以及良好职业道德和责任意识的企业家和职业经理人；</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培养方式：采取“四位一体”的培养模式——课堂教学、课下演练、课后实践和在岗提升。其中课堂教学包括理论教学、案例教学和企业家实战教学；课下演练包括学员经验分享、知识分享、三大赛以及各类经营管理大赛；课后实践包括企业参观与座谈、移动课堂、企业实习和企业咨询；在岗提升包括结合企业实际撰写毕业论文、鼓励和指导学员自主创业。</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主要招收具有一定管理基础和经历、远大职业理想和社会责任、较好的管理者潜资和出色学习能力的考生。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tblLayout w:type="autofit"/>
              <w:tblCellMar>
                <w:top w:w="0" w:type="dxa"/>
                <w:left w:w="0" w:type="dxa"/>
                <w:bottom w:w="0" w:type="dxa"/>
                <w:right w:w="0" w:type="dxa"/>
              </w:tblCellMar>
            </w:tblPr>
            <w:tblGrid>
              <w:gridCol w:w="5475"/>
              <w:gridCol w:w="5475"/>
            </w:tblGrid>
            <w:tr>
              <w:tblPrEx>
                <w:shd w:val="clear"/>
                <w:tblCellMar>
                  <w:top w:w="0" w:type="dxa"/>
                  <w:left w:w="0" w:type="dxa"/>
                  <w:bottom w:w="0" w:type="dxa"/>
                  <w:right w:w="0" w:type="dxa"/>
                </w:tblCellMar>
              </w:tblPrEx>
              <w:trPr>
                <w:tblCellSpacing w:w="7" w:type="dxa"/>
              </w:trPr>
              <w:tc>
                <w:tcPr>
                  <w:tcW w:w="25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研究方向</w:t>
                  </w:r>
                </w:p>
              </w:tc>
              <w:tc>
                <w:tcPr>
                  <w:tcW w:w="25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tblCellMar>
                  <w:top w:w="0" w:type="dxa"/>
                  <w:left w:w="0" w:type="dxa"/>
                  <w:bottom w:w="0" w:type="dxa"/>
                  <w:right w:w="0" w:type="dxa"/>
                </w:tblCellMar>
              </w:tblPrEx>
              <w:trPr>
                <w:tblCellSpacing w:w="7" w:type="dxa"/>
              </w:trPr>
              <w:tc>
                <w:tcPr>
                  <w:tcW w:w="2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3、(非全日制)MBA班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4、(非全日制)MBA全球班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5、(非全日制)EMBA班</w:t>
                  </w:r>
                </w:p>
              </w:tc>
              <w:tc>
                <w:tcPr>
                  <w:tcW w:w="2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199管理类联考综合能力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204英语二</w:t>
                  </w:r>
                </w:p>
              </w:tc>
            </w:tr>
          </w:tbl>
          <w:p>
            <w:pPr>
              <w:keepNext w:val="0"/>
              <w:keepLines w:val="0"/>
              <w:widowControl/>
              <w:suppressLineNumbers w:val="0"/>
              <w:jc w:val="left"/>
            </w:pP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：面试+背景审核。</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1）审核《面试申请书》；</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2）面试内容：政治理论、英语应用能力、专业知识与基础等。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3）考察专业素质和综合素质两个方面，注重考生能力和素质及潜力的考核。</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满分100分。复试成绩=（背景（满分100分）+面试（满分200分））÷3。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满分100分，复试成绩占比50%，即最终成绩=（初试总分÷3+复试成绩）÷2。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学校自主划定各项目复试分数线：1.全日制MBA中文班和非全日制MBA班复试分数线；2.非全日制MBA全球班复试分数线；3.全日制MBA国际班和非全日制EMBA复试分数线。分项目分别录取；各项目录取实行第一研究方向（项目）志愿优先、择优录取，生源充足适当提高复试差额，生源不足接收调剂的办法，根据最后指标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十、修业年限：</w:t>
            </w:r>
            <w:r>
              <w:rPr>
                <w:rFonts w:hint="eastAsia" w:ascii="宋体" w:hAnsi="宋体" w:eastAsia="宋体" w:cs="宋体"/>
                <w:i w:val="0"/>
                <w:caps w:val="0"/>
                <w:color w:val="575757"/>
                <w:spacing w:val="0"/>
                <w:kern w:val="0"/>
                <w:sz w:val="18"/>
                <w:szCs w:val="18"/>
                <w:u w:val="none"/>
                <w:bdr w:val="none" w:color="auto" w:sz="0" w:space="0"/>
                <w:lang w:val="en-US" w:eastAsia="zh-CN" w:bidi="ar"/>
              </w:rPr>
              <w:t>基本学制三年。学分五年有效。</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十一、学费标准（暂定，以正式公布为准，不会高于本暂定标准）</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1）非全日制MBA班：学费总额人民币20万元。入学三年内按期获得学位学费减免2万元，延期获得学位不享受学费减免。学费分次缴清（第一学年初缴纳9万元，第二学年初缴纳9万元，第四学年初缴纳2万元）。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2）非全日制MBA全球班：学费总额人民币24万元。入学三年内按期获得学位学费减免2万元，延期获得学位不享受学费减免。学费分次缴清（第一学年初缴纳11万元，第二学年初缴纳11万元，第四学年初缴纳2万元）。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3）非全日制EMBA：学费总额人民币32万元。入学三年内按期获得学位学费减免2万元，延期获得学位不享受学费减免。学费分次缴清（第一学年初缴纳15万元，第二学年初缴纳15万元，第四学年初缴纳2万元）。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十二、办学地点：</w:t>
            </w:r>
            <w:r>
              <w:rPr>
                <w:rFonts w:hint="eastAsia" w:ascii="宋体" w:hAnsi="宋体" w:eastAsia="宋体" w:cs="宋体"/>
                <w:i w:val="0"/>
                <w:caps w:val="0"/>
                <w:color w:val="575757"/>
                <w:spacing w:val="0"/>
                <w:kern w:val="0"/>
                <w:sz w:val="18"/>
                <w:szCs w:val="18"/>
                <w:u w:val="none"/>
                <w:bdr w:val="none" w:color="auto" w:sz="0" w:space="0"/>
                <w:lang w:val="en-US" w:eastAsia="zh-CN" w:bidi="ar"/>
              </w:rPr>
              <w:t>中国科大校本部（合肥）、</w:t>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非全日制MBA全球班上课地点在中国科大上海研究院或苏州研究院</w:t>
            </w:r>
          </w:p>
        </w:tc>
      </w:tr>
    </w:tbl>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学科专业名称：应用统计</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5"/>
                      <w:rFonts w:hint="eastAsia" w:ascii="宋体" w:hAnsi="宋体" w:eastAsia="宋体" w:cs="宋体"/>
                      <w:i w:val="0"/>
                      <w:color w:val="003399"/>
                      <w:kern w:val="0"/>
                      <w:sz w:val="18"/>
                      <w:szCs w:val="18"/>
                      <w:u w:val="none"/>
                      <w:bdr w:val="none" w:color="auto" w:sz="0" w:space="0"/>
                      <w:lang w:val="en-US" w:eastAsia="zh-CN" w:bidi="ar"/>
                    </w:rPr>
                    <w:t>025200)</w:t>
                  </w:r>
                </w:p>
              </w:tc>
            </w:tr>
            <w:tr>
              <w:tblPrEx>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接收统考生及推免生。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应用统计硕士专业学位是为适应中国现代统计事业发展对应用统计专门人才的迫切需要，完善应用统计人才培养体系，提高应用统计人才培养质量而设置的硕士专业学位。应用统计硕士旨在为政府统计、部门统计和社会统计领域培养从事金融统计、医药统计和教育统计等各方面的高层次、复合型、应用型人才。毕业生应具有统计素养，掌握常用的数据采集、处理、统计分析方法及技术，熟悉某一具体学科(比如金融、医学、教育、生物、地学等)，具备熟练应用计算机处理和分析数据的能力，并能将统计方法应用于解决实际问题，具有较宽的知识面，适应社会经济发展需要。</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5640"/>
              <w:gridCol w:w="5310"/>
            </w:tblGrid>
            <w:tr>
              <w:tblPrEx>
                <w:shd w:val="clear" w:color="auto" w:fill="CCCCCC"/>
                <w:tblCellMar>
                  <w:top w:w="0" w:type="dxa"/>
                  <w:left w:w="0" w:type="dxa"/>
                  <w:bottom w:w="0" w:type="dxa"/>
                  <w:right w:w="0" w:type="dxa"/>
                </w:tblCellMar>
              </w:tblPrEx>
              <w:trPr>
                <w:tblCellSpacing w:w="7" w:type="dxa"/>
              </w:trPr>
              <w:tc>
                <w:tcPr>
                  <w:tcW w:w="25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研究方向</w:t>
                  </w:r>
                </w:p>
              </w:tc>
              <w:tc>
                <w:tcPr>
                  <w:tcW w:w="24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初试科目</w:t>
                  </w:r>
                </w:p>
              </w:tc>
            </w:tr>
            <w:tr>
              <w:tblPrEx>
                <w:tblCellMar>
                  <w:top w:w="0" w:type="dxa"/>
                  <w:left w:w="0" w:type="dxa"/>
                  <w:bottom w:w="0" w:type="dxa"/>
                  <w:right w:w="0" w:type="dxa"/>
                </w:tblCellMar>
              </w:tblPrEx>
              <w:trPr>
                <w:tblCellSpacing w:w="7" w:type="dxa"/>
              </w:trPr>
              <w:tc>
                <w:tcPr>
                  <w:tcW w:w="2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1、大数据分析技术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2、抽样调查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3、经济统计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4、管理统计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5、金融统计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6、工业统计</w:t>
                  </w:r>
                </w:p>
              </w:tc>
              <w:tc>
                <w:tcPr>
                  <w:tcW w:w="24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303数学三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432统计学</w:t>
                  </w:r>
                </w:p>
              </w:tc>
            </w:tr>
          </w:tbl>
          <w:p>
            <w:pPr>
              <w:keepNext w:val="0"/>
              <w:keepLines w:val="0"/>
              <w:widowControl/>
              <w:suppressLineNumbers w:val="0"/>
              <w:jc w:val="left"/>
            </w:pP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：笔试+面试。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包括专业素质和综合素质两个方面，考察考生对本专业理论知识掌握程度，特别考察考生对本专业基本知识和基本概念的掌握和理解、对本学科发展动态的了解以及在本专业领域发展的潜力等等。参加复试的考生可提供可以证明自身各种素质和潜能的各种材料。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本专业笔试科目：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1、英语写作（满分100分）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2、概率论与数理统计（满分100分）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：满分100分。笔试满分200分，面试满分200分，复试成绩=（笔试成绩+面试成绩）÷4。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：满分100分。初试成绩不计政治，复试成绩占比50%，即最终成绩=（初试成绩【不计政治】÷4+复试成绩）÷2。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学科专业名称：统计学</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5"/>
                      <w:rFonts w:hint="eastAsia" w:ascii="宋体" w:hAnsi="宋体" w:eastAsia="宋体" w:cs="宋体"/>
                      <w:i w:val="0"/>
                      <w:color w:val="003399"/>
                      <w:kern w:val="0"/>
                      <w:sz w:val="18"/>
                      <w:szCs w:val="18"/>
                      <w:u w:val="none"/>
                      <w:bdr w:val="none" w:color="auto" w:sz="0" w:space="0"/>
                      <w:lang w:val="en-US" w:eastAsia="zh-CN" w:bidi="ar"/>
                    </w:rPr>
                    <w:t>071400)</w:t>
                  </w:r>
                </w:p>
              </w:tc>
            </w:tr>
            <w:tr>
              <w:tblPrEx>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接收推免生和统考生。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统计学学科是由陈希孺院士等人于1959年创建，1981年首批获博士学位授予权，随后建立博士后流动站，2000年成为长江学者设岗学科，2001年被评为国家重点学科。本学科现已经形成了数理统计、生物统计、应用概率、应用统计、金融工程等五个比较稳定且有特色的学科方向，并拥有一个国家级教学团队。本学科现下设概率论与数理统计、金融工程两个专业。</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概率论与数理统计专业主要培养具有坚实和系统的数学基础，掌握概率论和数理统计的基本理论和方法，能熟练地运用统计软件分析和处理数据，了解现代概率和统计学研究的前沿领域和发展动态，从事概率统计科学研究和教学，以及各种应用和开发的高级专门人才。</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金融工程专业培养具备扎实的现代金融理论和数理基础，能熟练运用计算机、法律等综合知识，对金融产品进行设计、定价，以及风险管理的高素质金融人才，毕业生可以从事金融工程、风险管理和精算等方面的理论研究和实务工作。</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5310"/>
              <w:gridCol w:w="5640"/>
            </w:tblGrid>
            <w:tr>
              <w:tblPrEx>
                <w:shd w:val="clear" w:color="auto" w:fill="CCCCCC"/>
                <w:tblCellMar>
                  <w:top w:w="0" w:type="dxa"/>
                  <w:left w:w="0" w:type="dxa"/>
                  <w:bottom w:w="0" w:type="dxa"/>
                  <w:right w:w="0" w:type="dxa"/>
                </w:tblCellMar>
              </w:tblPrEx>
              <w:trPr>
                <w:tblCellSpacing w:w="7" w:type="dxa"/>
              </w:trPr>
              <w:tc>
                <w:tcPr>
                  <w:tcW w:w="24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研究方向</w:t>
                  </w:r>
                </w:p>
              </w:tc>
              <w:tc>
                <w:tcPr>
                  <w:tcW w:w="25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初试科目</w:t>
                  </w:r>
                </w:p>
              </w:tc>
            </w:tr>
            <w:tr>
              <w:tblPrEx>
                <w:tblCellMar>
                  <w:top w:w="0" w:type="dxa"/>
                  <w:left w:w="0" w:type="dxa"/>
                  <w:bottom w:w="0" w:type="dxa"/>
                  <w:right w:w="0" w:type="dxa"/>
                </w:tblCellMar>
              </w:tblPrEx>
              <w:trPr>
                <w:tblCellSpacing w:w="7" w:type="dxa"/>
              </w:trPr>
              <w:tc>
                <w:tcPr>
                  <w:tcW w:w="24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1、数理统计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2、生物统计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3、应用概率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4、应用统计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5、金融工程</w:t>
                  </w:r>
                </w:p>
              </w:tc>
              <w:tc>
                <w:tcPr>
                  <w:tcW w:w="25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610分析与代数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812概率论与数理统计</w:t>
                  </w:r>
                </w:p>
              </w:tc>
            </w:tr>
          </w:tbl>
          <w:p>
            <w:pPr>
              <w:keepNext w:val="0"/>
              <w:keepLines w:val="0"/>
              <w:widowControl/>
              <w:suppressLineNumbers w:val="0"/>
              <w:jc w:val="left"/>
            </w:pP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：笔试+面试。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包括专业素质和综合素质两个方面，考察考生对本专业理论知识掌握程度，特别考察考生对本专业基本知识和基本概念的掌握和理解、对本学科发展动态的了解以及在本专业领域发展的潜力等等。参加复试的考生可提供可以证明自身各种素质和潜能的各种材料。</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概率论与数理统计专业笔试内容包括数学分析中的级数、线性代数中的二次型，实变函数中的测度论以及数理统计中的充分完备统计量。</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金融工程专业笔试内容包括宏观经济学（国民收入决定的静态均衡、货币的供给与需求、后凯恩斯主义宏观经济学）和微观经济学（消费需求理论、供给理论、市场与价格的决定、一般均衡）。</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本专业笔试科目：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1、英语写作（满分100分）；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2、专业素质测试（满分100分）。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：满分100分。笔试满分200分，面试满分200分，复试成绩=（笔试成绩+面试成绩）÷4。</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：满分100分。初试成绩不计政治，复试成绩占比50%，即最终成绩=（初试成绩【不计政治】÷4+复试成绩）÷2。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626DC"/>
    <w:rsid w:val="2E262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2019-12-03T09:32:00Z</dcterms:created>
  <dc:creator>Administrator</dc:creator>
  <cp:lastModifiedBy>Administrator</cp:lastModifiedBy>
  <dcterms:modified xsi:type="dcterms:W3CDTF">2019-12-03T09:34:53Z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