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52"/>
          <w:szCs w:val="52"/>
        </w:rPr>
      </w:pPr>
      <w:bookmarkStart w:id="0" w:name="_GoBack"/>
      <w:r>
        <w:rPr>
          <w:rFonts w:hint="eastAsia"/>
          <w:sz w:val="52"/>
          <w:szCs w:val="52"/>
        </w:rPr>
        <w:t>环境科学与光电技术学院</w:t>
      </w:r>
    </w:p>
    <w:bookmarkEnd w:id="0"/>
    <w:p>
      <w:pPr>
        <w:rPr>
          <w:rFonts w:hint="eastAsia"/>
        </w:rPr>
      </w:pPr>
    </w:p>
    <w:p>
      <w:pPr>
        <w:rPr>
          <w:rFonts w:hint="eastAsia" w:ascii="宋体" w:hAnsi="宋体" w:eastAsia="宋体" w:cs="宋体"/>
          <w:b/>
          <w:i w:val="0"/>
          <w:caps w:val="0"/>
          <w:color w:val="666666"/>
          <w:spacing w:val="0"/>
          <w:sz w:val="18"/>
          <w:szCs w:val="18"/>
          <w:shd w:val="clear" w:fill="EFEFEF"/>
        </w:rPr>
      </w:pPr>
      <w:r>
        <w:rPr>
          <w:rFonts w:hint="eastAsia" w:ascii="宋体" w:hAnsi="宋体" w:eastAsia="宋体" w:cs="宋体"/>
          <w:b/>
          <w:i w:val="0"/>
          <w:caps w:val="0"/>
          <w:color w:val="666666"/>
          <w:spacing w:val="0"/>
          <w:sz w:val="18"/>
          <w:szCs w:val="18"/>
          <w:shd w:val="clear" w:fill="EFEFEF"/>
        </w:rPr>
        <w:t>环境科学与光电技术学院包含以下专业：</w:t>
      </w:r>
    </w:p>
    <w:p>
      <w:pPr>
        <w:rPr>
          <w:rFonts w:hint="eastAsia" w:ascii="宋体" w:hAnsi="宋体" w:eastAsia="宋体" w:cs="宋体"/>
          <w:b/>
          <w:i w:val="0"/>
          <w:caps w:val="0"/>
          <w:color w:val="666666"/>
          <w:spacing w:val="0"/>
          <w:sz w:val="18"/>
          <w:szCs w:val="18"/>
          <w:shd w:val="clear" w:fill="EFEFEF"/>
        </w:rPr>
      </w:pPr>
    </w:p>
    <w:tbl>
      <w:tblPr>
        <w:tblW w:w="11100" w:type="dxa"/>
        <w:tblCellSpacing w:w="0" w:type="dxa"/>
        <w:tblInd w:w="0" w:type="dxa"/>
        <w:shd w:val="clear" w:color="auto" w:fill="FFFFFF"/>
        <w:tblLayout w:type="autofit"/>
        <w:tblCellMar>
          <w:top w:w="0" w:type="dxa"/>
          <w:left w:w="0" w:type="dxa"/>
          <w:bottom w:w="0" w:type="dxa"/>
          <w:right w:w="0" w:type="dxa"/>
        </w:tblCellMar>
      </w:tblPr>
      <w:tblGrid>
        <w:gridCol w:w="11100"/>
      </w:tblGrid>
      <w:tr>
        <w:tblPrEx>
          <w:tblCellMar>
            <w:top w:w="0" w:type="dxa"/>
            <w:left w:w="0" w:type="dxa"/>
            <w:bottom w:w="0" w:type="dxa"/>
            <w:right w:w="0" w:type="dxa"/>
          </w:tblCellMar>
        </w:tblPrEx>
        <w:trPr>
          <w:tblCellSpacing w:w="0" w:type="dxa"/>
        </w:trPr>
        <w:tc>
          <w:tcPr>
            <w:tcW w:w="0" w:type="auto"/>
            <w:shd w:val="clear" w:color="auto" w:fill="FFFFFF"/>
            <w:vAlign w:val="center"/>
          </w:tcPr>
          <w:tbl>
            <w:tblPr>
              <w:tblW w:w="11100" w:type="dxa"/>
              <w:jc w:val="center"/>
              <w:tblCellSpacing w:w="15" w:type="dxa"/>
              <w:shd w:val="clear"/>
              <w:tblLayout w:type="autofit"/>
              <w:tblCellMar>
                <w:top w:w="0" w:type="dxa"/>
                <w:left w:w="0" w:type="dxa"/>
                <w:bottom w:w="0" w:type="dxa"/>
                <w:right w:w="0" w:type="dxa"/>
              </w:tblCellMar>
            </w:tblPr>
            <w:tblGrid>
              <w:gridCol w:w="3227"/>
              <w:gridCol w:w="1013"/>
              <w:gridCol w:w="1434"/>
              <w:gridCol w:w="2526"/>
              <w:gridCol w:w="2900"/>
            </w:tblGrid>
            <w:tr>
              <w:tblPrEx>
                <w:shd w:val="clear"/>
                <w:tblCellMar>
                  <w:top w:w="0" w:type="dxa"/>
                  <w:left w:w="0" w:type="dxa"/>
                  <w:bottom w:w="0" w:type="dxa"/>
                  <w:right w:w="0" w:type="dxa"/>
                </w:tblCellMar>
              </w:tblPrEx>
              <w:trPr>
                <w:trHeight w:val="450" w:hRule="atLeast"/>
                <w:tblCellSpacing w:w="15" w:type="dxa"/>
                <w:jc w:val="center"/>
              </w:trPr>
              <w:tc>
                <w:tcPr>
                  <w:tcW w:w="0" w:type="auto"/>
                  <w:gridSpan w:val="5"/>
                  <w:shd w:val="clear" w:color="auto" w:fill="DEF1FB"/>
                  <w:tcMar>
                    <w:left w:w="150" w:type="dxa"/>
                  </w:tcMar>
                  <w:vAlign w:val="center"/>
                </w:tcPr>
                <w:p>
                  <w:pPr>
                    <w:keepNext w:val="0"/>
                    <w:keepLines w:val="0"/>
                    <w:widowControl/>
                    <w:suppressLineNumbers w:val="0"/>
                    <w:shd w:val="clear" w:fill="DEF1FB"/>
                    <w:spacing w:line="330" w:lineRule="atLeast"/>
                    <w:jc w:val="left"/>
                    <w:rPr>
                      <w:rFonts w:hint="eastAsia" w:ascii="宋体" w:hAnsi="宋体" w:eastAsia="宋体" w:cs="宋体"/>
                      <w:b/>
                      <w:i w:val="0"/>
                      <w:color w:val="666666"/>
                      <w:sz w:val="18"/>
                      <w:szCs w:val="18"/>
                      <w:u w:val="none"/>
                    </w:rPr>
                  </w:pPr>
                  <w:r>
                    <w:rPr>
                      <w:rFonts w:hint="eastAsia" w:ascii="宋体" w:hAnsi="宋体" w:eastAsia="宋体" w:cs="宋体"/>
                      <w:b/>
                      <w:i w:val="0"/>
                      <w:color w:val="666666"/>
                      <w:kern w:val="0"/>
                      <w:sz w:val="18"/>
                      <w:szCs w:val="18"/>
                      <w:u w:val="none"/>
                      <w:bdr w:val="none" w:color="auto" w:sz="0" w:space="0"/>
                      <w:lang w:val="en-US" w:eastAsia="zh-CN" w:bidi="ar"/>
                    </w:rPr>
                    <w:t>学科专业名称：物理学</w:t>
                  </w:r>
                  <w:r>
                    <w:rPr>
                      <w:rFonts w:hint="eastAsia" w:ascii="宋体" w:hAnsi="宋体" w:eastAsia="宋体" w:cs="宋体"/>
                      <w:b/>
                      <w:i w:val="0"/>
                      <w:color w:val="003399"/>
                      <w:kern w:val="0"/>
                      <w:sz w:val="18"/>
                      <w:szCs w:val="18"/>
                      <w:u w:val="none"/>
                      <w:bdr w:val="none" w:color="auto" w:sz="0" w:space="0"/>
                      <w:lang w:val="en-US" w:eastAsia="zh-CN" w:bidi="ar"/>
                    </w:rPr>
                    <w:t>（专业代码　</w:t>
                  </w:r>
                  <w:r>
                    <w:rPr>
                      <w:rStyle w:val="4"/>
                      <w:rFonts w:hint="eastAsia" w:ascii="宋体" w:hAnsi="宋体" w:eastAsia="宋体" w:cs="宋体"/>
                      <w:i w:val="0"/>
                      <w:color w:val="003399"/>
                      <w:kern w:val="0"/>
                      <w:sz w:val="18"/>
                      <w:szCs w:val="18"/>
                      <w:u w:val="none"/>
                      <w:bdr w:val="none" w:color="auto" w:sz="0" w:space="0"/>
                      <w:lang w:val="en-US" w:eastAsia="zh-CN" w:bidi="ar"/>
                    </w:rPr>
                    <w:t>070200）</w:t>
                  </w:r>
                </w:p>
              </w:tc>
            </w:tr>
            <w:tr>
              <w:tblPrEx>
                <w:tblCellMar>
                  <w:top w:w="0" w:type="dxa"/>
                  <w:left w:w="0" w:type="dxa"/>
                  <w:bottom w:w="0" w:type="dxa"/>
                  <w:right w:w="0" w:type="dxa"/>
                </w:tblCellMar>
              </w:tblPrEx>
              <w:trPr>
                <w:trHeight w:val="30" w:hRule="atLeast"/>
                <w:tblCellSpacing w:w="15" w:type="dxa"/>
                <w:jc w:val="center"/>
              </w:trPr>
              <w:tc>
                <w:tcPr>
                  <w:tcW w:w="3060" w:type="dxa"/>
                  <w:shd w:val="clear"/>
                  <w:vAlign w:val="center"/>
                </w:tcPr>
                <w:p>
                  <w:pPr>
                    <w:rPr>
                      <w:rFonts w:hint="eastAsia" w:ascii="宋体"/>
                      <w:sz w:val="24"/>
                      <w:szCs w:val="24"/>
                    </w:rPr>
                  </w:pPr>
                </w:p>
              </w:tc>
              <w:tc>
                <w:tcPr>
                  <w:tcW w:w="945" w:type="dxa"/>
                  <w:shd w:val="clear"/>
                  <w:vAlign w:val="center"/>
                </w:tcPr>
                <w:p>
                  <w:pPr>
                    <w:rPr>
                      <w:rFonts w:hint="eastAsia" w:ascii="宋体"/>
                      <w:sz w:val="24"/>
                      <w:szCs w:val="24"/>
                    </w:rPr>
                  </w:pPr>
                </w:p>
              </w:tc>
              <w:tc>
                <w:tcPr>
                  <w:tcW w:w="1350" w:type="dxa"/>
                  <w:shd w:val="clear"/>
                  <w:vAlign w:val="center"/>
                </w:tcPr>
                <w:p>
                  <w:pPr>
                    <w:rPr>
                      <w:rFonts w:hint="eastAsia" w:ascii="宋体"/>
                      <w:sz w:val="24"/>
                      <w:szCs w:val="24"/>
                    </w:rPr>
                  </w:pPr>
                </w:p>
              </w:tc>
              <w:tc>
                <w:tcPr>
                  <w:tcW w:w="2400" w:type="dxa"/>
                  <w:shd w:val="clear"/>
                  <w:vAlign w:val="center"/>
                </w:tcPr>
                <w:p>
                  <w:pPr>
                    <w:rPr>
                      <w:rFonts w:hint="eastAsia" w:ascii="宋体"/>
                      <w:sz w:val="24"/>
                      <w:szCs w:val="24"/>
                    </w:rPr>
                  </w:pPr>
                </w:p>
              </w:tc>
              <w:tc>
                <w:tcPr>
                  <w:tcW w:w="2745" w:type="dxa"/>
                  <w:shd w:val="clear"/>
                  <w:vAlign w:val="center"/>
                </w:tcPr>
                <w:p>
                  <w:pPr>
                    <w:rPr>
                      <w:rFonts w:hint="eastAsia" w:ascii="宋体"/>
                      <w:sz w:val="24"/>
                      <w:szCs w:val="24"/>
                    </w:rPr>
                  </w:pPr>
                </w:p>
              </w:tc>
            </w:tr>
          </w:tbl>
          <w:p>
            <w:pPr>
              <w:rPr>
                <w:rFonts w:ascii="微软雅黑" w:hAnsi="微软雅黑" w:eastAsia="微软雅黑" w:cs="微软雅黑"/>
                <w:i w:val="0"/>
                <w:caps w:val="0"/>
                <w:color w:val="000000"/>
                <w:spacing w:val="0"/>
                <w:sz w:val="27"/>
                <w:szCs w:val="27"/>
              </w:rPr>
            </w:pPr>
          </w:p>
        </w:tc>
      </w:tr>
      <w:tr>
        <w:tblPrEx>
          <w:shd w:val="clear" w:color="auto" w:fill="FFFFFF"/>
          <w:tblCellMar>
            <w:top w:w="0" w:type="dxa"/>
            <w:left w:w="0" w:type="dxa"/>
            <w:bottom w:w="0" w:type="dxa"/>
            <w:right w:w="0" w:type="dxa"/>
          </w:tblCellMar>
        </w:tblPrEx>
        <w:trPr>
          <w:tblCellSpacing w:w="0" w:type="dxa"/>
        </w:trPr>
        <w:tc>
          <w:tcPr>
            <w:tcW w:w="0" w:type="auto"/>
            <w:shd w:val="clear" w:color="auto" w:fill="FFFFFF"/>
            <w:tcMar>
              <w:top w:w="225" w:type="dxa"/>
              <w:left w:w="75" w:type="dxa"/>
              <w:bottom w:w="225" w:type="dxa"/>
              <w:right w:w="75" w:type="dxa"/>
            </w:tcMar>
            <w:vAlign w:val="center"/>
          </w:tcPr>
          <w:p>
            <w:pPr>
              <w:keepNext w:val="0"/>
              <w:keepLines w:val="0"/>
              <w:widowControl/>
              <w:suppressLineNumbers w:val="0"/>
              <w:spacing w:line="330" w:lineRule="atLeast"/>
              <w:ind w:left="0" w:firstLine="0"/>
              <w:jc w:val="left"/>
              <w:rPr>
                <w:rFonts w:hint="eastAsia" w:ascii="宋体" w:hAnsi="宋体" w:eastAsia="宋体" w:cs="宋体"/>
                <w:i w:val="0"/>
                <w:caps w:val="0"/>
                <w:color w:val="575757"/>
                <w:spacing w:val="0"/>
                <w:sz w:val="18"/>
                <w:szCs w:val="18"/>
                <w:u w:val="none"/>
              </w:rPr>
            </w:pP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一、报考说明</w:t>
            </w:r>
            <w:r>
              <w:rPr>
                <w:rFonts w:hint="eastAsia" w:ascii="宋体" w:hAnsi="宋体" w:eastAsia="宋体" w:cs="宋体"/>
                <w:i w:val="0"/>
                <w:caps w:val="0"/>
                <w:color w:val="575757"/>
                <w:spacing w:val="0"/>
                <w:kern w:val="0"/>
                <w:sz w:val="18"/>
                <w:szCs w:val="18"/>
                <w:u w:val="none"/>
                <w:bdr w:val="none" w:color="auto" w:sz="0" w:space="0"/>
                <w:lang w:val="en-US" w:eastAsia="zh-CN" w:bidi="ar"/>
              </w:rPr>
              <w:t>：与本学科相关专业的推免生、应届本科生和具有学士学位的往届本科生。</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二、专业介绍</w:t>
            </w:r>
            <w:r>
              <w:rPr>
                <w:rFonts w:hint="eastAsia" w:ascii="宋体" w:hAnsi="宋体" w:eastAsia="宋体" w:cs="宋体"/>
                <w:i w:val="0"/>
                <w:caps w:val="0"/>
                <w:color w:val="575757"/>
                <w:spacing w:val="0"/>
                <w:kern w:val="0"/>
                <w:sz w:val="18"/>
                <w:szCs w:val="18"/>
                <w:u w:val="none"/>
                <w:bdr w:val="none" w:color="auto" w:sz="0" w:space="0"/>
                <w:lang w:val="en-US" w:eastAsia="zh-CN" w:bidi="ar"/>
              </w:rPr>
              <w:t>：</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物理学（070200）为一级学科专业。光学为二级学科专业。</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目前的主要专业方向有：环境光学、大气光学、光学遥感、光电子技术、激光技术等。其研究平台为中国科大与中科院安徽光机所共建的环境科学与光电技术学院，以及中科院环境光学与技术重点实验室、国家"863"计划大气光学重点实验室、中科院通用光学辐射定标与表征技术创新重点实验室、安徽省环境光学监测技术重点实验室等多个省部级重点实验室。毕业生主要去向：1）国家各部委2）高校及国家重点科研机构、研究所；3）出国继续深造和工作；4）大型国企及外资企业。</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对本专业简介如下：</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本专业主要依托中国科大与中科院安徽光机所共建的环境科学与光电技术学院，师资力量雄厚，拥有硕士、博士学位授予权。本专业在坚实的物理学基础上，结合了大气光学、环境光学和光学遥感等有特色的学科基础，以光学、电子学等技术手段，研究光电技术在地球大气与环境要素探测与研究方面的应用，培养既有较坚实的理论基础，又有较强工程应用能力的复合型人才。本专业学生主要学习环境物理、现代光学、光谱学、光信息处理、光电探测的基础理论及实验技术，具有坚实的数理基础，掌握光学、光谱学及光电子范畴的理论和实验技能，熟悉计算机应用技术，既能从事较高层次的研究工作，又可从事高水平的技术开发和管理工作。</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三、研究方向及初试科目</w:t>
            </w:r>
            <w:r>
              <w:rPr>
                <w:rFonts w:hint="eastAsia" w:ascii="宋体" w:hAnsi="宋体" w:eastAsia="宋体" w:cs="宋体"/>
                <w:i w:val="0"/>
                <w:caps w:val="0"/>
                <w:color w:val="575757"/>
                <w:spacing w:val="0"/>
                <w:kern w:val="0"/>
                <w:sz w:val="18"/>
                <w:szCs w:val="18"/>
                <w:u w:val="none"/>
                <w:bdr w:val="none" w:color="auto" w:sz="0" w:space="0"/>
                <w:lang w:val="en-US" w:eastAsia="zh-CN" w:bidi="ar"/>
              </w:rPr>
              <w:t>：</w:t>
            </w:r>
          </w:p>
          <w:tbl>
            <w:tblPr>
              <w:tblW w:w="5000" w:type="pct"/>
              <w:tblCellSpacing w:w="7" w:type="dxa"/>
              <w:tblInd w:w="0" w:type="dxa"/>
              <w:shd w:val="clear" w:color="auto" w:fill="CCCCCC"/>
              <w:tblLayout w:type="autofit"/>
              <w:tblCellMar>
                <w:top w:w="0" w:type="dxa"/>
                <w:left w:w="0" w:type="dxa"/>
                <w:bottom w:w="0" w:type="dxa"/>
                <w:right w:w="0" w:type="dxa"/>
              </w:tblCellMar>
            </w:tblPr>
            <w:tblGrid>
              <w:gridCol w:w="3106"/>
              <w:gridCol w:w="7844"/>
            </w:tblGrid>
            <w:tr>
              <w:tblPrEx>
                <w:shd w:val="clear" w:color="auto" w:fill="CCCCCC"/>
              </w:tblPrEx>
              <w:trPr>
                <w:tblCellSpacing w:w="7" w:type="dxa"/>
              </w:trPr>
              <w:tc>
                <w:tcPr>
                  <w:tcW w:w="140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4"/>
                      <w:rFonts w:hint="eastAsia" w:ascii="宋体" w:hAnsi="宋体" w:eastAsia="宋体" w:cs="宋体"/>
                      <w:i w:val="0"/>
                      <w:color w:val="FFFFFF"/>
                      <w:kern w:val="0"/>
                      <w:sz w:val="18"/>
                      <w:szCs w:val="18"/>
                      <w:u w:val="none"/>
                      <w:bdr w:val="none" w:color="auto" w:sz="0" w:space="0"/>
                      <w:lang w:val="en-US" w:eastAsia="zh-CN" w:bidi="ar"/>
                    </w:rPr>
                    <w:t>研究方向</w:t>
                  </w:r>
                </w:p>
              </w:tc>
              <w:tc>
                <w:tcPr>
                  <w:tcW w:w="355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4"/>
                      <w:rFonts w:hint="eastAsia" w:ascii="宋体" w:hAnsi="宋体" w:eastAsia="宋体" w:cs="宋体"/>
                      <w:i w:val="0"/>
                      <w:color w:val="FFFFFF"/>
                      <w:kern w:val="0"/>
                      <w:sz w:val="18"/>
                      <w:szCs w:val="18"/>
                      <w:u w:val="none"/>
                      <w:bdr w:val="none" w:color="auto" w:sz="0" w:space="0"/>
                      <w:lang w:val="en-US" w:eastAsia="zh-CN" w:bidi="ar"/>
                    </w:rPr>
                    <w:t>初试科目</w:t>
                  </w:r>
                </w:p>
              </w:tc>
            </w:tr>
            <w:tr>
              <w:tblPrEx>
                <w:tblCellMar>
                  <w:top w:w="0" w:type="dxa"/>
                  <w:left w:w="0" w:type="dxa"/>
                  <w:bottom w:w="0" w:type="dxa"/>
                  <w:right w:w="0" w:type="dxa"/>
                </w:tblCellMar>
              </w:tblPrEx>
              <w:trPr>
                <w:tblCellSpacing w:w="7" w:type="dxa"/>
              </w:trPr>
              <w:tc>
                <w:tcPr>
                  <w:tcW w:w="14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1、环境光学</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2、大气光学</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3、光学遥感</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4、激光光谱</w:t>
                  </w:r>
                </w:p>
              </w:tc>
              <w:tc>
                <w:tcPr>
                  <w:tcW w:w="35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第一组：</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101思想政治理论</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201英语一</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617普通物理A</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814工程光学或847大气物理学</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第二组：</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101思想政治理论</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201英语一</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617普通物理A</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808电路与电子线路或821机械设计</w:t>
                  </w:r>
                </w:p>
              </w:tc>
            </w:tr>
          </w:tbl>
          <w:p>
            <w:pPr>
              <w:keepNext w:val="0"/>
              <w:keepLines w:val="0"/>
              <w:widowControl/>
              <w:suppressLineNumbers w:val="0"/>
              <w:jc w:val="left"/>
            </w:pP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四、复试形式</w:t>
            </w:r>
            <w:r>
              <w:rPr>
                <w:rFonts w:hint="eastAsia" w:ascii="宋体" w:hAnsi="宋体" w:eastAsia="宋体" w:cs="宋体"/>
                <w:i w:val="0"/>
                <w:caps w:val="0"/>
                <w:color w:val="575757"/>
                <w:spacing w:val="0"/>
                <w:kern w:val="0"/>
                <w:sz w:val="18"/>
                <w:szCs w:val="18"/>
                <w:u w:val="none"/>
                <w:bdr w:val="none" w:color="auto" w:sz="0" w:space="0"/>
                <w:lang w:val="en-US" w:eastAsia="zh-CN" w:bidi="ar"/>
              </w:rPr>
              <w:t>：面试。</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五、复试内容</w:t>
            </w:r>
            <w:r>
              <w:rPr>
                <w:rFonts w:hint="eastAsia" w:ascii="宋体" w:hAnsi="宋体" w:eastAsia="宋体" w:cs="宋体"/>
                <w:i w:val="0"/>
                <w:caps w:val="0"/>
                <w:color w:val="575757"/>
                <w:spacing w:val="0"/>
                <w:kern w:val="0"/>
                <w:sz w:val="18"/>
                <w:szCs w:val="18"/>
                <w:u w:val="none"/>
                <w:bdr w:val="none" w:color="auto" w:sz="0" w:space="0"/>
                <w:lang w:val="en-US" w:eastAsia="zh-CN" w:bidi="ar"/>
              </w:rPr>
              <w:t>：</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自我介绍（满分20分）。</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专业素质与综合素质考核（满分60分）：专业素质考核重点考察考生对本学科（专业）理论知识和应用技能的掌握程度，特别是考生对本专业基本知识和基本概念的掌握和理解、对本学科发展动态的了解以及考生在本专业领域发展的潜力；综合素质考核重点考察考生思想政治素质和道德品质、本专业以外的学习、科研和社会实践等方面的经历、个性特征、诚信状况和意志品质等。</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英语听说读写能力测试（满分20分）。</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六、复试成绩</w:t>
            </w:r>
            <w:r>
              <w:rPr>
                <w:rFonts w:hint="eastAsia" w:ascii="宋体" w:hAnsi="宋体" w:eastAsia="宋体" w:cs="宋体"/>
                <w:i w:val="0"/>
                <w:caps w:val="0"/>
                <w:color w:val="575757"/>
                <w:spacing w:val="0"/>
                <w:kern w:val="0"/>
                <w:sz w:val="18"/>
                <w:szCs w:val="18"/>
                <w:u w:val="none"/>
                <w:bdr w:val="none" w:color="auto" w:sz="0" w:space="0"/>
                <w:lang w:val="en-US" w:eastAsia="zh-CN" w:bidi="ar"/>
              </w:rPr>
              <w:t>：满分100分。</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七、最终成绩</w:t>
            </w:r>
            <w:r>
              <w:rPr>
                <w:rFonts w:hint="eastAsia" w:ascii="宋体" w:hAnsi="宋体" w:eastAsia="宋体" w:cs="宋体"/>
                <w:i w:val="0"/>
                <w:caps w:val="0"/>
                <w:color w:val="575757"/>
                <w:spacing w:val="0"/>
                <w:kern w:val="0"/>
                <w:sz w:val="18"/>
                <w:szCs w:val="18"/>
                <w:u w:val="none"/>
                <w:bdr w:val="none" w:color="auto" w:sz="0" w:space="0"/>
                <w:lang w:val="en-US" w:eastAsia="zh-CN" w:bidi="ar"/>
              </w:rPr>
              <w:t>：满分100分，初试成绩不计政治、外语，复试成绩占比50%，即最终成绩=（初试成绩【不计政治、外语】÷3+复试成绩）÷2。</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八、录取</w:t>
            </w:r>
            <w:r>
              <w:rPr>
                <w:rFonts w:hint="eastAsia" w:ascii="宋体" w:hAnsi="宋体" w:eastAsia="宋体" w:cs="宋体"/>
                <w:i w:val="0"/>
                <w:caps w:val="0"/>
                <w:color w:val="575757"/>
                <w:spacing w:val="0"/>
                <w:kern w:val="0"/>
                <w:sz w:val="18"/>
                <w:szCs w:val="18"/>
                <w:u w:val="none"/>
                <w:bdr w:val="none" w:color="auto" w:sz="0" w:space="0"/>
                <w:lang w:val="en-US" w:eastAsia="zh-CN" w:bidi="ar"/>
              </w:rPr>
              <w:t>：按最终成绩由高到低排序，提出拟录取名单报批。为保证招生质量，报批人数可小于招生计划。</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九、调剂</w:t>
            </w:r>
            <w:r>
              <w:rPr>
                <w:rFonts w:hint="eastAsia" w:ascii="宋体" w:hAnsi="宋体" w:eastAsia="宋体" w:cs="宋体"/>
                <w:i w:val="0"/>
                <w:caps w:val="0"/>
                <w:color w:val="575757"/>
                <w:spacing w:val="0"/>
                <w:kern w:val="0"/>
                <w:sz w:val="18"/>
                <w:szCs w:val="18"/>
                <w:u w:val="none"/>
                <w:bdr w:val="none" w:color="auto" w:sz="0" w:space="0"/>
                <w:lang w:val="en-US" w:eastAsia="zh-CN" w:bidi="ar"/>
              </w:rPr>
              <w:t>：本专业在生源不足的情况下接受调剂。调剂信息将于复试阶段在中国科大研究生招生在线网站（http://yz.ustc.edu.cn）发布。调剂对象为报考我校相关专业的考生。调剂考生须符合我校《硕士研究生招生复试工作章程》有关规定。我单位对申请调剂考生的成绩及相关材料进行审核，择优通知复试，复试形式、内容、录取办法等同上。</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十、学费标准</w:t>
            </w:r>
            <w:r>
              <w:rPr>
                <w:rFonts w:hint="eastAsia" w:ascii="宋体" w:hAnsi="宋体" w:eastAsia="宋体" w:cs="宋体"/>
                <w:i w:val="0"/>
                <w:caps w:val="0"/>
                <w:color w:val="575757"/>
                <w:spacing w:val="0"/>
                <w:kern w:val="0"/>
                <w:sz w:val="18"/>
                <w:szCs w:val="18"/>
                <w:u w:val="none"/>
                <w:bdr w:val="none" w:color="auto" w:sz="0" w:space="0"/>
                <w:lang w:val="en-US" w:eastAsia="zh-CN" w:bidi="ar"/>
              </w:rPr>
              <w:t>：8000元/学年。</w:t>
            </w:r>
          </w:p>
        </w:tc>
      </w:tr>
      <w:tr>
        <w:tblPrEx>
          <w:shd w:val="clear" w:color="auto" w:fill="FFFFFF"/>
          <w:tblCellMar>
            <w:top w:w="0" w:type="dxa"/>
            <w:left w:w="0" w:type="dxa"/>
            <w:bottom w:w="0" w:type="dxa"/>
            <w:right w:w="0" w:type="dxa"/>
          </w:tblCellMar>
        </w:tblPrEx>
        <w:trPr>
          <w:tblCellSpacing w:w="0" w:type="dxa"/>
        </w:trPr>
        <w:tc>
          <w:tcPr>
            <w:tcW w:w="0" w:type="auto"/>
            <w:shd w:val="clear" w:color="auto" w:fill="FFFFFF"/>
            <w:vAlign w:val="center"/>
          </w:tcPr>
          <w:tbl>
            <w:tblPr>
              <w:tblW w:w="11100" w:type="dxa"/>
              <w:jc w:val="center"/>
              <w:tblCellSpacing w:w="15" w:type="dxa"/>
              <w:shd w:val="clear"/>
              <w:tblLayout w:type="autofit"/>
              <w:tblCellMar>
                <w:top w:w="0" w:type="dxa"/>
                <w:left w:w="0" w:type="dxa"/>
                <w:bottom w:w="0" w:type="dxa"/>
                <w:right w:w="0" w:type="dxa"/>
              </w:tblCellMar>
            </w:tblPr>
            <w:tblGrid>
              <w:gridCol w:w="3227"/>
              <w:gridCol w:w="1013"/>
              <w:gridCol w:w="1434"/>
              <w:gridCol w:w="2526"/>
              <w:gridCol w:w="2900"/>
            </w:tblGrid>
            <w:tr>
              <w:tblPrEx>
                <w:shd w:val="clear"/>
                <w:tblCellMar>
                  <w:top w:w="0" w:type="dxa"/>
                  <w:left w:w="0" w:type="dxa"/>
                  <w:bottom w:w="0" w:type="dxa"/>
                  <w:right w:w="0" w:type="dxa"/>
                </w:tblCellMar>
              </w:tblPrEx>
              <w:trPr>
                <w:trHeight w:val="450" w:hRule="atLeast"/>
                <w:tblCellSpacing w:w="15" w:type="dxa"/>
                <w:jc w:val="center"/>
              </w:trPr>
              <w:tc>
                <w:tcPr>
                  <w:tcW w:w="0" w:type="auto"/>
                  <w:gridSpan w:val="5"/>
                  <w:shd w:val="clear" w:color="auto" w:fill="DEF1FB"/>
                  <w:tcMar>
                    <w:left w:w="150" w:type="dxa"/>
                  </w:tcMar>
                  <w:vAlign w:val="center"/>
                </w:tcPr>
                <w:p>
                  <w:pPr>
                    <w:keepNext w:val="0"/>
                    <w:keepLines w:val="0"/>
                    <w:widowControl/>
                    <w:suppressLineNumbers w:val="0"/>
                    <w:shd w:val="clear" w:fill="DEF1FB"/>
                    <w:spacing w:line="330" w:lineRule="atLeast"/>
                    <w:jc w:val="left"/>
                    <w:rPr>
                      <w:rFonts w:hint="eastAsia" w:ascii="宋体" w:hAnsi="宋体" w:eastAsia="宋体" w:cs="宋体"/>
                      <w:b/>
                      <w:i w:val="0"/>
                      <w:color w:val="666666"/>
                      <w:sz w:val="18"/>
                      <w:szCs w:val="18"/>
                      <w:u w:val="none"/>
                    </w:rPr>
                  </w:pPr>
                  <w:r>
                    <w:rPr>
                      <w:rFonts w:hint="eastAsia" w:ascii="宋体" w:hAnsi="宋体" w:eastAsia="宋体" w:cs="宋体"/>
                      <w:b/>
                      <w:i w:val="0"/>
                      <w:color w:val="666666"/>
                      <w:kern w:val="0"/>
                      <w:sz w:val="18"/>
                      <w:szCs w:val="18"/>
                      <w:u w:val="none"/>
                      <w:bdr w:val="none" w:color="auto" w:sz="0" w:space="0"/>
                      <w:lang w:val="en-US" w:eastAsia="zh-CN" w:bidi="ar"/>
                    </w:rPr>
                    <w:t>学科专业名称：环境科学与工程</w:t>
                  </w:r>
                  <w:r>
                    <w:rPr>
                      <w:rFonts w:hint="eastAsia" w:ascii="宋体" w:hAnsi="宋体" w:eastAsia="宋体" w:cs="宋体"/>
                      <w:b/>
                      <w:i w:val="0"/>
                      <w:color w:val="003399"/>
                      <w:kern w:val="0"/>
                      <w:sz w:val="18"/>
                      <w:szCs w:val="18"/>
                      <w:u w:val="none"/>
                      <w:bdr w:val="none" w:color="auto" w:sz="0" w:space="0"/>
                      <w:lang w:val="en-US" w:eastAsia="zh-CN" w:bidi="ar"/>
                    </w:rPr>
                    <w:t> （专业代码　</w:t>
                  </w:r>
                  <w:r>
                    <w:rPr>
                      <w:rStyle w:val="4"/>
                      <w:rFonts w:hint="eastAsia" w:ascii="宋体" w:hAnsi="宋体" w:eastAsia="宋体" w:cs="宋体"/>
                      <w:i w:val="0"/>
                      <w:color w:val="003399"/>
                      <w:kern w:val="0"/>
                      <w:sz w:val="18"/>
                      <w:szCs w:val="18"/>
                      <w:u w:val="none"/>
                      <w:bdr w:val="none" w:color="auto" w:sz="0" w:space="0"/>
                      <w:lang w:val="en-US" w:eastAsia="zh-CN" w:bidi="ar"/>
                    </w:rPr>
                    <w:t>083000）</w:t>
                  </w:r>
                </w:p>
              </w:tc>
            </w:tr>
            <w:tr>
              <w:tblPrEx>
                <w:tblCellMar>
                  <w:top w:w="0" w:type="dxa"/>
                  <w:left w:w="0" w:type="dxa"/>
                  <w:bottom w:w="0" w:type="dxa"/>
                  <w:right w:w="0" w:type="dxa"/>
                </w:tblCellMar>
              </w:tblPrEx>
              <w:trPr>
                <w:trHeight w:val="30" w:hRule="atLeast"/>
                <w:tblCellSpacing w:w="15" w:type="dxa"/>
                <w:jc w:val="center"/>
              </w:trPr>
              <w:tc>
                <w:tcPr>
                  <w:tcW w:w="3060" w:type="dxa"/>
                  <w:shd w:val="clear"/>
                  <w:vAlign w:val="center"/>
                </w:tcPr>
                <w:p>
                  <w:pPr>
                    <w:rPr>
                      <w:rFonts w:hint="eastAsia" w:ascii="宋体"/>
                      <w:sz w:val="24"/>
                      <w:szCs w:val="24"/>
                    </w:rPr>
                  </w:pPr>
                </w:p>
              </w:tc>
              <w:tc>
                <w:tcPr>
                  <w:tcW w:w="945" w:type="dxa"/>
                  <w:shd w:val="clear"/>
                  <w:vAlign w:val="center"/>
                </w:tcPr>
                <w:p>
                  <w:pPr>
                    <w:rPr>
                      <w:rFonts w:hint="eastAsia" w:ascii="宋体"/>
                      <w:sz w:val="24"/>
                      <w:szCs w:val="24"/>
                    </w:rPr>
                  </w:pPr>
                </w:p>
              </w:tc>
              <w:tc>
                <w:tcPr>
                  <w:tcW w:w="1350" w:type="dxa"/>
                  <w:shd w:val="clear"/>
                  <w:vAlign w:val="center"/>
                </w:tcPr>
                <w:p>
                  <w:pPr>
                    <w:rPr>
                      <w:rFonts w:hint="eastAsia" w:ascii="宋体"/>
                      <w:sz w:val="24"/>
                      <w:szCs w:val="24"/>
                    </w:rPr>
                  </w:pPr>
                </w:p>
              </w:tc>
              <w:tc>
                <w:tcPr>
                  <w:tcW w:w="2400" w:type="dxa"/>
                  <w:shd w:val="clear"/>
                  <w:vAlign w:val="center"/>
                </w:tcPr>
                <w:p>
                  <w:pPr>
                    <w:rPr>
                      <w:rFonts w:hint="eastAsia" w:ascii="宋体"/>
                      <w:sz w:val="24"/>
                      <w:szCs w:val="24"/>
                    </w:rPr>
                  </w:pPr>
                </w:p>
              </w:tc>
              <w:tc>
                <w:tcPr>
                  <w:tcW w:w="2745" w:type="dxa"/>
                  <w:shd w:val="clear"/>
                  <w:vAlign w:val="center"/>
                </w:tcPr>
                <w:p>
                  <w:pPr>
                    <w:rPr>
                      <w:rFonts w:hint="eastAsia" w:ascii="宋体"/>
                      <w:sz w:val="24"/>
                      <w:szCs w:val="24"/>
                    </w:rPr>
                  </w:pPr>
                </w:p>
              </w:tc>
            </w:tr>
          </w:tbl>
          <w:p>
            <w:pPr>
              <w:rPr>
                <w:rFonts w:ascii="微软雅黑" w:hAnsi="微软雅黑" w:eastAsia="微软雅黑" w:cs="微软雅黑"/>
                <w:i w:val="0"/>
                <w:caps w:val="0"/>
                <w:color w:val="000000"/>
                <w:spacing w:val="0"/>
                <w:sz w:val="27"/>
                <w:szCs w:val="27"/>
              </w:rPr>
            </w:pPr>
          </w:p>
        </w:tc>
      </w:tr>
      <w:tr>
        <w:tblPrEx>
          <w:shd w:val="clear" w:color="auto" w:fill="FFFFFF"/>
          <w:tblCellMar>
            <w:top w:w="0" w:type="dxa"/>
            <w:left w:w="0" w:type="dxa"/>
            <w:bottom w:w="0" w:type="dxa"/>
            <w:right w:w="0" w:type="dxa"/>
          </w:tblCellMar>
        </w:tblPrEx>
        <w:trPr>
          <w:tblCellSpacing w:w="0" w:type="dxa"/>
        </w:trPr>
        <w:tc>
          <w:tcPr>
            <w:tcW w:w="0" w:type="auto"/>
            <w:shd w:val="clear" w:color="auto" w:fill="FFFFFF"/>
            <w:tcMar>
              <w:top w:w="225" w:type="dxa"/>
              <w:left w:w="75" w:type="dxa"/>
              <w:bottom w:w="225" w:type="dxa"/>
              <w:right w:w="75" w:type="dxa"/>
            </w:tcMar>
            <w:vAlign w:val="center"/>
          </w:tcPr>
          <w:p>
            <w:pPr>
              <w:keepNext w:val="0"/>
              <w:keepLines w:val="0"/>
              <w:widowControl/>
              <w:suppressLineNumbers w:val="0"/>
              <w:spacing w:line="330" w:lineRule="atLeast"/>
              <w:ind w:left="0" w:firstLine="0"/>
              <w:jc w:val="left"/>
              <w:rPr>
                <w:rFonts w:hint="eastAsia" w:ascii="宋体" w:hAnsi="宋体" w:eastAsia="宋体" w:cs="宋体"/>
                <w:i w:val="0"/>
                <w:caps w:val="0"/>
                <w:color w:val="575757"/>
                <w:spacing w:val="0"/>
                <w:sz w:val="18"/>
                <w:szCs w:val="18"/>
                <w:u w:val="none"/>
              </w:rPr>
            </w:pP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一、报考说明</w:t>
            </w:r>
            <w:r>
              <w:rPr>
                <w:rFonts w:hint="eastAsia" w:ascii="宋体" w:hAnsi="宋体" w:eastAsia="宋体" w:cs="宋体"/>
                <w:i w:val="0"/>
                <w:caps w:val="0"/>
                <w:color w:val="575757"/>
                <w:spacing w:val="0"/>
                <w:kern w:val="0"/>
                <w:sz w:val="18"/>
                <w:szCs w:val="18"/>
                <w:u w:val="none"/>
                <w:bdr w:val="none" w:color="auto" w:sz="0" w:space="0"/>
                <w:lang w:val="en-US" w:eastAsia="zh-CN" w:bidi="ar"/>
              </w:rPr>
              <w:t>：与本学科相关专业的推免生、应届本科生和具有学士学位的往届本科生。</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二、专业介绍</w:t>
            </w:r>
            <w:r>
              <w:rPr>
                <w:rFonts w:hint="eastAsia" w:ascii="宋体" w:hAnsi="宋体" w:eastAsia="宋体" w:cs="宋体"/>
                <w:i w:val="0"/>
                <w:caps w:val="0"/>
                <w:color w:val="575757"/>
                <w:spacing w:val="0"/>
                <w:kern w:val="0"/>
                <w:sz w:val="18"/>
                <w:szCs w:val="18"/>
                <w:u w:val="none"/>
                <w:bdr w:val="none" w:color="auto" w:sz="0" w:space="0"/>
                <w:lang w:val="en-US" w:eastAsia="zh-CN" w:bidi="ar"/>
              </w:rPr>
              <w:t>：</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环境科学为二级学科专业。毕业生主要去向：1）国家各部委2）高校及国家重点科研机构、研究所；3）出国继续深造和工作； 4）大型国企及外资企业。对环境科学的专业简介如下：</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本专业主要依托中国科大与中科院安徽光机所共建的环境科学与光电技术学院，师资力量雄厚，拥有硕士、博士学位授予权。本专业学生主要学习环境科学方面的基本理论、基本知识，受到应用基础研究、应用研究和环境管理的基本训练，具有较好的科学素养及一定的教学、研究、开发和管理能力，掌握环境监测与环境质量评价的方法以及进行环境规划与管理的基本技能。毕业生能够在科研机构、高等学校、企事业单位及行政部门等从事科研、教学、环境保护和环境管理等工作的高级专门人才。</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三、研究方向及初试科目</w:t>
            </w:r>
            <w:r>
              <w:rPr>
                <w:rFonts w:hint="eastAsia" w:ascii="宋体" w:hAnsi="宋体" w:eastAsia="宋体" w:cs="宋体"/>
                <w:i w:val="0"/>
                <w:caps w:val="0"/>
                <w:color w:val="575757"/>
                <w:spacing w:val="0"/>
                <w:kern w:val="0"/>
                <w:sz w:val="18"/>
                <w:szCs w:val="18"/>
                <w:u w:val="none"/>
                <w:bdr w:val="none" w:color="auto" w:sz="0" w:space="0"/>
                <w:lang w:val="en-US" w:eastAsia="zh-CN" w:bidi="ar"/>
              </w:rPr>
              <w:t>：</w:t>
            </w:r>
          </w:p>
          <w:tbl>
            <w:tblPr>
              <w:tblW w:w="5000" w:type="pct"/>
              <w:tblCellSpacing w:w="7" w:type="dxa"/>
              <w:tblInd w:w="0" w:type="dxa"/>
              <w:shd w:val="clear" w:color="auto" w:fill="CCCCCC"/>
              <w:tblLayout w:type="autofit"/>
              <w:tblCellMar>
                <w:top w:w="0" w:type="dxa"/>
                <w:left w:w="0" w:type="dxa"/>
                <w:bottom w:w="0" w:type="dxa"/>
                <w:right w:w="0" w:type="dxa"/>
              </w:tblCellMar>
            </w:tblPr>
            <w:tblGrid>
              <w:gridCol w:w="4428"/>
              <w:gridCol w:w="6522"/>
            </w:tblGrid>
            <w:tr>
              <w:tblPrEx>
                <w:shd w:val="clear" w:color="auto" w:fill="CCCCCC"/>
                <w:tblCellMar>
                  <w:top w:w="0" w:type="dxa"/>
                  <w:left w:w="0" w:type="dxa"/>
                  <w:bottom w:w="0" w:type="dxa"/>
                  <w:right w:w="0" w:type="dxa"/>
                </w:tblCellMar>
              </w:tblPrEx>
              <w:trPr>
                <w:tblCellSpacing w:w="7" w:type="dxa"/>
              </w:trPr>
              <w:tc>
                <w:tcPr>
                  <w:tcW w:w="200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4"/>
                      <w:rFonts w:hint="eastAsia" w:ascii="宋体" w:hAnsi="宋体" w:eastAsia="宋体" w:cs="宋体"/>
                      <w:i w:val="0"/>
                      <w:color w:val="FFFFFF"/>
                      <w:kern w:val="0"/>
                      <w:sz w:val="18"/>
                      <w:szCs w:val="18"/>
                      <w:u w:val="none"/>
                      <w:bdr w:val="none" w:color="auto" w:sz="0" w:space="0"/>
                      <w:lang w:val="en-US" w:eastAsia="zh-CN" w:bidi="ar"/>
                    </w:rPr>
                    <w:t>研究方向</w:t>
                  </w:r>
                </w:p>
              </w:tc>
              <w:tc>
                <w:tcPr>
                  <w:tcW w:w="295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4"/>
                      <w:rFonts w:hint="eastAsia" w:ascii="宋体" w:hAnsi="宋体" w:eastAsia="宋体" w:cs="宋体"/>
                      <w:i w:val="0"/>
                      <w:color w:val="FFFFFF"/>
                      <w:kern w:val="0"/>
                      <w:sz w:val="18"/>
                      <w:szCs w:val="18"/>
                      <w:u w:val="none"/>
                      <w:bdr w:val="none" w:color="auto" w:sz="0" w:space="0"/>
                      <w:lang w:val="en-US" w:eastAsia="zh-CN" w:bidi="ar"/>
                    </w:rPr>
                    <w:t>初试科目</w:t>
                  </w:r>
                </w:p>
              </w:tc>
            </w:tr>
            <w:tr>
              <w:tblPrEx>
                <w:tblCellMar>
                  <w:top w:w="0" w:type="dxa"/>
                  <w:left w:w="0" w:type="dxa"/>
                  <w:bottom w:w="0" w:type="dxa"/>
                  <w:right w:w="0" w:type="dxa"/>
                </w:tblCellMar>
              </w:tblPrEx>
              <w:trPr>
                <w:tblCellSpacing w:w="7" w:type="dxa"/>
              </w:trPr>
              <w:tc>
                <w:tcPr>
                  <w:tcW w:w="20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1、环境监测</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2、环境光学</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3、大气物理与大气环境</w:t>
                  </w:r>
                </w:p>
              </w:tc>
              <w:tc>
                <w:tcPr>
                  <w:tcW w:w="29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101思想政治理论</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201英语一</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302数学二</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820环境科学基础或847大气物理学</w:t>
                  </w:r>
                </w:p>
              </w:tc>
            </w:tr>
            <w:tr>
              <w:tblPrEx>
                <w:tblCellMar>
                  <w:top w:w="0" w:type="dxa"/>
                  <w:left w:w="0" w:type="dxa"/>
                  <w:bottom w:w="0" w:type="dxa"/>
                  <w:right w:w="0" w:type="dxa"/>
                </w:tblCellMar>
              </w:tblPrEx>
              <w:trPr>
                <w:tblCellSpacing w:w="7" w:type="dxa"/>
              </w:trPr>
              <w:tc>
                <w:tcPr>
                  <w:tcW w:w="20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4、环境毒理</w:t>
                  </w:r>
                </w:p>
              </w:tc>
              <w:tc>
                <w:tcPr>
                  <w:tcW w:w="29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101思想政治理论</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201英语一</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302数学二</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841细胞生物学</w:t>
                  </w:r>
                </w:p>
              </w:tc>
            </w:tr>
          </w:tbl>
          <w:p>
            <w:pPr>
              <w:keepNext w:val="0"/>
              <w:keepLines w:val="0"/>
              <w:widowControl/>
              <w:suppressLineNumbers w:val="0"/>
              <w:jc w:val="left"/>
            </w:pP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四、复试形式</w:t>
            </w:r>
            <w:r>
              <w:rPr>
                <w:rFonts w:hint="eastAsia" w:ascii="宋体" w:hAnsi="宋体" w:eastAsia="宋体" w:cs="宋体"/>
                <w:i w:val="0"/>
                <w:caps w:val="0"/>
                <w:color w:val="575757"/>
                <w:spacing w:val="0"/>
                <w:kern w:val="0"/>
                <w:sz w:val="18"/>
                <w:szCs w:val="18"/>
                <w:u w:val="none"/>
                <w:bdr w:val="none" w:color="auto" w:sz="0" w:space="0"/>
                <w:lang w:val="en-US" w:eastAsia="zh-CN" w:bidi="ar"/>
              </w:rPr>
              <w:t>：面试。</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五、复试内容</w:t>
            </w:r>
            <w:r>
              <w:rPr>
                <w:rFonts w:hint="eastAsia" w:ascii="宋体" w:hAnsi="宋体" w:eastAsia="宋体" w:cs="宋体"/>
                <w:i w:val="0"/>
                <w:caps w:val="0"/>
                <w:color w:val="575757"/>
                <w:spacing w:val="0"/>
                <w:kern w:val="0"/>
                <w:sz w:val="18"/>
                <w:szCs w:val="18"/>
                <w:u w:val="none"/>
                <w:bdr w:val="none" w:color="auto" w:sz="0" w:space="0"/>
                <w:lang w:val="en-US" w:eastAsia="zh-CN" w:bidi="ar"/>
              </w:rPr>
              <w:t>：</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自我介绍（满分20分）。</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专业素质与综合素质考核（满分60分）：专业素质考核重点考察考生对本学科（专业）理论知识和应用技能的掌握程度，特别是考生对本专业基本知识和基本概念的掌握和理解、对本学科发展动态的了解以及考生在本专业领域发展的潜力；综合素质考核重点考察考生思想政治素质和道德品质、本专业以外的学习、科研和社会实践等方面的经历、个性特征、诚信状况和意志品质等。</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英语听说读写能力测试（满分20分）。</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六、复试成绩</w:t>
            </w:r>
            <w:r>
              <w:rPr>
                <w:rFonts w:hint="eastAsia" w:ascii="宋体" w:hAnsi="宋体" w:eastAsia="宋体" w:cs="宋体"/>
                <w:i w:val="0"/>
                <w:caps w:val="0"/>
                <w:color w:val="575757"/>
                <w:spacing w:val="0"/>
                <w:kern w:val="0"/>
                <w:sz w:val="18"/>
                <w:szCs w:val="18"/>
                <w:u w:val="none"/>
                <w:bdr w:val="none" w:color="auto" w:sz="0" w:space="0"/>
                <w:lang w:val="en-US" w:eastAsia="zh-CN" w:bidi="ar"/>
              </w:rPr>
              <w:t>：满分100分。</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七、最终成绩</w:t>
            </w:r>
            <w:r>
              <w:rPr>
                <w:rFonts w:hint="eastAsia" w:ascii="宋体" w:hAnsi="宋体" w:eastAsia="宋体" w:cs="宋体"/>
                <w:i w:val="0"/>
                <w:caps w:val="0"/>
                <w:color w:val="575757"/>
                <w:spacing w:val="0"/>
                <w:kern w:val="0"/>
                <w:sz w:val="18"/>
                <w:szCs w:val="18"/>
                <w:u w:val="none"/>
                <w:bdr w:val="none" w:color="auto" w:sz="0" w:space="0"/>
                <w:lang w:val="en-US" w:eastAsia="zh-CN" w:bidi="ar"/>
              </w:rPr>
              <w:t>：满分100分。初试成绩不计政治、外语，复试成绩占比50%，即最终成绩=（初试成绩【不计政治、外语】÷3+复试成绩）÷2。</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八、录取</w:t>
            </w:r>
            <w:r>
              <w:rPr>
                <w:rFonts w:hint="eastAsia" w:ascii="宋体" w:hAnsi="宋体" w:eastAsia="宋体" w:cs="宋体"/>
                <w:i w:val="0"/>
                <w:caps w:val="0"/>
                <w:color w:val="575757"/>
                <w:spacing w:val="0"/>
                <w:kern w:val="0"/>
                <w:sz w:val="18"/>
                <w:szCs w:val="18"/>
                <w:u w:val="none"/>
                <w:bdr w:val="none" w:color="auto" w:sz="0" w:space="0"/>
                <w:lang w:val="en-US" w:eastAsia="zh-CN" w:bidi="ar"/>
              </w:rPr>
              <w:t>：按最终成绩由高到低排序，提出拟录取名单报批。为保证招生质量，报批人数可小于招生计划。</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九、调剂</w:t>
            </w:r>
            <w:r>
              <w:rPr>
                <w:rFonts w:hint="eastAsia" w:ascii="宋体" w:hAnsi="宋体" w:eastAsia="宋体" w:cs="宋体"/>
                <w:i w:val="0"/>
                <w:caps w:val="0"/>
                <w:color w:val="575757"/>
                <w:spacing w:val="0"/>
                <w:kern w:val="0"/>
                <w:sz w:val="18"/>
                <w:szCs w:val="18"/>
                <w:u w:val="none"/>
                <w:bdr w:val="none" w:color="auto" w:sz="0" w:space="0"/>
                <w:lang w:val="en-US" w:eastAsia="zh-CN" w:bidi="ar"/>
              </w:rPr>
              <w:t>：本专业在生源不足的情况下接受调剂。调剂信息将于复试阶段在中国科大研究生招生在线网站（http://yz.ustc.edu.cn）发布。调剂对象为报考我校相关专业的考生。调剂考生须符合我校《硕士研究生招生复试工作章程》有关规定。我单位对申请调剂考生的成绩及相关材料进行审核，择优通知复试，复试形式、内容、录取办法等同上。 </w:t>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十、学费标准</w:t>
            </w:r>
            <w:r>
              <w:rPr>
                <w:rFonts w:hint="eastAsia" w:ascii="宋体" w:hAnsi="宋体" w:eastAsia="宋体" w:cs="宋体"/>
                <w:i w:val="0"/>
                <w:caps w:val="0"/>
                <w:color w:val="575757"/>
                <w:spacing w:val="0"/>
                <w:kern w:val="0"/>
                <w:sz w:val="18"/>
                <w:szCs w:val="18"/>
                <w:u w:val="none"/>
                <w:bdr w:val="none" w:color="auto" w:sz="0" w:space="0"/>
                <w:lang w:val="en-US" w:eastAsia="zh-CN" w:bidi="ar"/>
              </w:rPr>
              <w:t>：8000元/学年。</w:t>
            </w:r>
          </w:p>
        </w:tc>
      </w:tr>
    </w:tbl>
    <w:p>
      <w:pPr>
        <w:rPr>
          <w:rFonts w:hint="eastAsia" w:ascii="宋体" w:hAnsi="宋体" w:eastAsia="宋体" w:cs="宋体"/>
          <w:b/>
          <w:i w:val="0"/>
          <w:caps w:val="0"/>
          <w:color w:val="666666"/>
          <w:spacing w:val="0"/>
          <w:sz w:val="18"/>
          <w:szCs w:val="18"/>
          <w:shd w:val="clear" w:fill="EFEFEF"/>
        </w:rPr>
      </w:pPr>
    </w:p>
    <w:p>
      <w:pPr>
        <w:rPr>
          <w:rFonts w:hint="eastAsia" w:ascii="宋体" w:hAnsi="宋体" w:eastAsia="宋体" w:cs="宋体"/>
          <w:b/>
          <w:i w:val="0"/>
          <w:caps w:val="0"/>
          <w:color w:val="666666"/>
          <w:spacing w:val="0"/>
          <w:sz w:val="18"/>
          <w:szCs w:val="18"/>
          <w:shd w:val="clear" w:fill="EFEFEF"/>
        </w:rPr>
      </w:pPr>
    </w:p>
    <w:tbl>
      <w:tblPr>
        <w:tblW w:w="11100" w:type="dxa"/>
        <w:tblCellSpacing w:w="0" w:type="dxa"/>
        <w:tblInd w:w="0" w:type="dxa"/>
        <w:shd w:val="clear" w:color="auto" w:fill="FFFFFF"/>
        <w:tblLayout w:type="autofit"/>
        <w:tblCellMar>
          <w:top w:w="0" w:type="dxa"/>
          <w:left w:w="0" w:type="dxa"/>
          <w:bottom w:w="0" w:type="dxa"/>
          <w:right w:w="0" w:type="dxa"/>
        </w:tblCellMar>
      </w:tblPr>
      <w:tblGrid>
        <w:gridCol w:w="11100"/>
      </w:tblGrid>
      <w:tr>
        <w:tblPrEx>
          <w:shd w:val="clear" w:color="auto" w:fill="FFFFFF"/>
          <w:tblCellMar>
            <w:top w:w="0" w:type="dxa"/>
            <w:left w:w="0" w:type="dxa"/>
            <w:bottom w:w="0" w:type="dxa"/>
            <w:right w:w="0" w:type="dxa"/>
          </w:tblCellMar>
        </w:tblPrEx>
        <w:trPr>
          <w:tblCellSpacing w:w="0" w:type="dxa"/>
        </w:trPr>
        <w:tc>
          <w:tcPr>
            <w:tcW w:w="0" w:type="auto"/>
            <w:shd w:val="clear" w:color="auto" w:fill="FFFFFF"/>
            <w:vAlign w:val="center"/>
          </w:tcPr>
          <w:tbl>
            <w:tblPr>
              <w:tblW w:w="11100" w:type="dxa"/>
              <w:jc w:val="center"/>
              <w:tblCellSpacing w:w="15" w:type="dxa"/>
              <w:shd w:val="clear"/>
              <w:tblLayout w:type="autofit"/>
              <w:tblCellMar>
                <w:top w:w="0" w:type="dxa"/>
                <w:left w:w="0" w:type="dxa"/>
                <w:bottom w:w="0" w:type="dxa"/>
                <w:right w:w="0" w:type="dxa"/>
              </w:tblCellMar>
            </w:tblPr>
            <w:tblGrid>
              <w:gridCol w:w="3227"/>
              <w:gridCol w:w="1013"/>
              <w:gridCol w:w="1434"/>
              <w:gridCol w:w="2526"/>
              <w:gridCol w:w="2900"/>
            </w:tblGrid>
            <w:tr>
              <w:tblPrEx>
                <w:shd w:val="clear"/>
                <w:tblCellMar>
                  <w:top w:w="0" w:type="dxa"/>
                  <w:left w:w="0" w:type="dxa"/>
                  <w:bottom w:w="0" w:type="dxa"/>
                  <w:right w:w="0" w:type="dxa"/>
                </w:tblCellMar>
              </w:tblPrEx>
              <w:trPr>
                <w:trHeight w:val="450" w:hRule="atLeast"/>
                <w:tblCellSpacing w:w="15" w:type="dxa"/>
                <w:jc w:val="center"/>
              </w:trPr>
              <w:tc>
                <w:tcPr>
                  <w:tcW w:w="0" w:type="auto"/>
                  <w:gridSpan w:val="5"/>
                  <w:shd w:val="clear" w:color="auto" w:fill="DEF1FB"/>
                  <w:tcMar>
                    <w:left w:w="150" w:type="dxa"/>
                  </w:tcMar>
                  <w:vAlign w:val="center"/>
                </w:tcPr>
                <w:p>
                  <w:pPr>
                    <w:keepNext w:val="0"/>
                    <w:keepLines w:val="0"/>
                    <w:widowControl/>
                    <w:suppressLineNumbers w:val="0"/>
                    <w:shd w:val="clear" w:fill="DEF1FB"/>
                    <w:spacing w:line="330" w:lineRule="atLeast"/>
                    <w:jc w:val="left"/>
                    <w:rPr>
                      <w:rFonts w:hint="eastAsia" w:ascii="宋体" w:hAnsi="宋体" w:eastAsia="宋体" w:cs="宋体"/>
                      <w:b/>
                      <w:i w:val="0"/>
                      <w:color w:val="666666"/>
                      <w:sz w:val="18"/>
                      <w:szCs w:val="18"/>
                      <w:u w:val="none"/>
                    </w:rPr>
                  </w:pPr>
                  <w:r>
                    <w:rPr>
                      <w:rFonts w:hint="eastAsia" w:ascii="宋体" w:hAnsi="宋体" w:eastAsia="宋体" w:cs="宋体"/>
                      <w:b/>
                      <w:i w:val="0"/>
                      <w:color w:val="666666"/>
                      <w:kern w:val="0"/>
                      <w:sz w:val="18"/>
                      <w:szCs w:val="18"/>
                      <w:u w:val="none"/>
                      <w:bdr w:val="none" w:color="auto" w:sz="0" w:space="0"/>
                      <w:lang w:val="en-US" w:eastAsia="zh-CN" w:bidi="ar"/>
                    </w:rPr>
                    <w:t>学科专业名称：资源与环境</w:t>
                  </w:r>
                  <w:r>
                    <w:rPr>
                      <w:rFonts w:hint="eastAsia" w:ascii="宋体" w:hAnsi="宋体" w:eastAsia="宋体" w:cs="宋体"/>
                      <w:b/>
                      <w:i w:val="0"/>
                      <w:color w:val="003399"/>
                      <w:kern w:val="0"/>
                      <w:sz w:val="18"/>
                      <w:szCs w:val="18"/>
                      <w:u w:val="none"/>
                      <w:bdr w:val="none" w:color="auto" w:sz="0" w:space="0"/>
                      <w:lang w:val="en-US" w:eastAsia="zh-CN" w:bidi="ar"/>
                    </w:rPr>
                    <w:t>（专业代码　085700）</w:t>
                  </w:r>
                </w:p>
              </w:tc>
            </w:tr>
            <w:tr>
              <w:tblPrEx>
                <w:tblCellMar>
                  <w:top w:w="0" w:type="dxa"/>
                  <w:left w:w="0" w:type="dxa"/>
                  <w:bottom w:w="0" w:type="dxa"/>
                  <w:right w:w="0" w:type="dxa"/>
                </w:tblCellMar>
              </w:tblPrEx>
              <w:trPr>
                <w:trHeight w:val="30" w:hRule="atLeast"/>
                <w:tblCellSpacing w:w="15" w:type="dxa"/>
                <w:jc w:val="center"/>
              </w:trPr>
              <w:tc>
                <w:tcPr>
                  <w:tcW w:w="3060" w:type="dxa"/>
                  <w:shd w:val="clear"/>
                  <w:vAlign w:val="center"/>
                </w:tcPr>
                <w:p>
                  <w:pPr>
                    <w:rPr>
                      <w:rFonts w:hint="eastAsia" w:ascii="宋体"/>
                      <w:sz w:val="24"/>
                      <w:szCs w:val="24"/>
                    </w:rPr>
                  </w:pPr>
                </w:p>
              </w:tc>
              <w:tc>
                <w:tcPr>
                  <w:tcW w:w="945" w:type="dxa"/>
                  <w:shd w:val="clear"/>
                  <w:vAlign w:val="center"/>
                </w:tcPr>
                <w:p>
                  <w:pPr>
                    <w:rPr>
                      <w:rFonts w:hint="eastAsia" w:ascii="宋体"/>
                      <w:sz w:val="24"/>
                      <w:szCs w:val="24"/>
                    </w:rPr>
                  </w:pPr>
                </w:p>
              </w:tc>
              <w:tc>
                <w:tcPr>
                  <w:tcW w:w="1350" w:type="dxa"/>
                  <w:shd w:val="clear"/>
                  <w:vAlign w:val="center"/>
                </w:tcPr>
                <w:p>
                  <w:pPr>
                    <w:rPr>
                      <w:rFonts w:hint="eastAsia" w:ascii="宋体"/>
                      <w:sz w:val="24"/>
                      <w:szCs w:val="24"/>
                    </w:rPr>
                  </w:pPr>
                </w:p>
              </w:tc>
              <w:tc>
                <w:tcPr>
                  <w:tcW w:w="2400" w:type="dxa"/>
                  <w:shd w:val="clear"/>
                  <w:vAlign w:val="center"/>
                </w:tcPr>
                <w:p>
                  <w:pPr>
                    <w:rPr>
                      <w:rFonts w:hint="eastAsia" w:ascii="宋体"/>
                      <w:sz w:val="24"/>
                      <w:szCs w:val="24"/>
                    </w:rPr>
                  </w:pPr>
                </w:p>
              </w:tc>
              <w:tc>
                <w:tcPr>
                  <w:tcW w:w="2745" w:type="dxa"/>
                  <w:shd w:val="clear"/>
                  <w:vAlign w:val="center"/>
                </w:tcPr>
                <w:p>
                  <w:pPr>
                    <w:rPr>
                      <w:rFonts w:hint="eastAsia" w:ascii="宋体"/>
                      <w:sz w:val="24"/>
                      <w:szCs w:val="24"/>
                    </w:rPr>
                  </w:pPr>
                </w:p>
              </w:tc>
            </w:tr>
          </w:tbl>
          <w:p>
            <w:pPr>
              <w:rPr>
                <w:rFonts w:ascii="微软雅黑" w:hAnsi="微软雅黑" w:eastAsia="微软雅黑" w:cs="微软雅黑"/>
                <w:i w:val="0"/>
                <w:caps w:val="0"/>
                <w:color w:val="000000"/>
                <w:spacing w:val="0"/>
                <w:sz w:val="27"/>
                <w:szCs w:val="27"/>
              </w:rPr>
            </w:pPr>
          </w:p>
        </w:tc>
      </w:tr>
      <w:tr>
        <w:tblPrEx>
          <w:tblCellMar>
            <w:top w:w="0" w:type="dxa"/>
            <w:left w:w="0" w:type="dxa"/>
            <w:bottom w:w="0" w:type="dxa"/>
            <w:right w:w="0" w:type="dxa"/>
          </w:tblCellMar>
        </w:tblPrEx>
        <w:trPr>
          <w:tblCellSpacing w:w="0" w:type="dxa"/>
        </w:trPr>
        <w:tc>
          <w:tcPr>
            <w:tcW w:w="0" w:type="auto"/>
            <w:shd w:val="clear" w:color="auto" w:fill="FFFFFF"/>
            <w:tcMar>
              <w:top w:w="225" w:type="dxa"/>
              <w:left w:w="75" w:type="dxa"/>
              <w:bottom w:w="225" w:type="dxa"/>
              <w:right w:w="75" w:type="dxa"/>
            </w:tcMar>
            <w:vAlign w:val="center"/>
          </w:tcPr>
          <w:p>
            <w:pPr>
              <w:keepNext w:val="0"/>
              <w:keepLines w:val="0"/>
              <w:widowControl/>
              <w:suppressLineNumbers w:val="0"/>
              <w:spacing w:line="330" w:lineRule="atLeast"/>
              <w:ind w:left="0" w:firstLine="0"/>
              <w:jc w:val="left"/>
              <w:rPr>
                <w:rFonts w:hint="eastAsia" w:ascii="宋体" w:hAnsi="宋体" w:eastAsia="宋体" w:cs="宋体"/>
                <w:i w:val="0"/>
                <w:caps w:val="0"/>
                <w:color w:val="575757"/>
                <w:spacing w:val="0"/>
                <w:sz w:val="18"/>
                <w:szCs w:val="18"/>
                <w:u w:val="none"/>
              </w:rPr>
            </w:pP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一、报考说明：</w:t>
            </w:r>
            <w:r>
              <w:rPr>
                <w:rFonts w:hint="eastAsia" w:ascii="宋体" w:hAnsi="宋体" w:eastAsia="宋体" w:cs="宋体"/>
                <w:i w:val="0"/>
                <w:caps w:val="0"/>
                <w:color w:val="575757"/>
                <w:spacing w:val="0"/>
                <w:kern w:val="0"/>
                <w:sz w:val="18"/>
                <w:szCs w:val="18"/>
                <w:u w:val="none"/>
                <w:bdr w:val="none" w:color="auto" w:sz="0" w:space="0"/>
                <w:lang w:val="en-US" w:eastAsia="zh-CN" w:bidi="ar"/>
              </w:rPr>
              <w:t>与本学科相关专业的推免生、应届本科生和具有学士学位的往届本科生。</w:t>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二、专业介绍：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目前的主要专业方向有：环境光学、大气光学、光学遥感、激光技术、大气物理化学、环境监测、大气物理与大气环境、环境毒理等。其研究平台为中国科大与中科院安徽光机所共建的环境科学与光电技术学院，以及中科院环境光学与技术重点实验室、国家"863"计划大气光学重点实验室、中科院通用光学辐射定标与表征技术创新重点实验室、安徽省环境光学监测技术重点实验室等多个省部级重点实验室。毕业生主要去向：1）国家各部委2）高校及国家重点科研机构、研究所；3）出国继续深造和工作； 4）大型国企及外资企业。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对本专业简介如下：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本专业主要依托中国科大与中科院安徽光机所共建的环境科学与光电技术学院，师资力量雄厚，拥有硕士、博士学位授予权。本专业在坚实的物理学基础上，结合了大气光学、环境光学和光学遥感等有特色的学科基础，以光学、电子学等技术手段，研究光电技术在地球大气与环境要素探测与研究方面的应用，培养既有较坚实的理论基础，又有较强工程应用能力的复合型人才。本专业学生主要学习环境物理、现代光学、光谱学、光信息处理、光电探测的基础理论及实验技术，具有坚实的数理基础，掌握光学、光谱学及光电子范畴的理论和实验技能，熟悉计算机应用技术，既能从事较高层次的研究工作，又可从事高水平的技术开发和管理工作。</w:t>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三、研究方向及初试科目：</w:t>
            </w:r>
          </w:p>
          <w:tbl>
            <w:tblPr>
              <w:tblW w:w="5000" w:type="pct"/>
              <w:tblCellSpacing w:w="7" w:type="dxa"/>
              <w:tblInd w:w="0" w:type="dxa"/>
              <w:shd w:val="clear" w:color="auto" w:fill="CCCCCC"/>
              <w:tblLayout w:type="autofit"/>
              <w:tblCellMar>
                <w:top w:w="0" w:type="dxa"/>
                <w:left w:w="0" w:type="dxa"/>
                <w:bottom w:w="0" w:type="dxa"/>
                <w:right w:w="0" w:type="dxa"/>
              </w:tblCellMar>
            </w:tblPr>
            <w:tblGrid>
              <w:gridCol w:w="3657"/>
              <w:gridCol w:w="7293"/>
            </w:tblGrid>
            <w:tr>
              <w:tblPrEx>
                <w:tblCellMar>
                  <w:top w:w="0" w:type="dxa"/>
                  <w:left w:w="0" w:type="dxa"/>
                  <w:bottom w:w="0" w:type="dxa"/>
                  <w:right w:w="0" w:type="dxa"/>
                </w:tblCellMar>
              </w:tblPrEx>
              <w:trPr>
                <w:tblCellSpacing w:w="7" w:type="dxa"/>
              </w:trPr>
              <w:tc>
                <w:tcPr>
                  <w:tcW w:w="165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4"/>
                      <w:rFonts w:hint="eastAsia" w:ascii="宋体" w:hAnsi="宋体" w:eastAsia="宋体" w:cs="宋体"/>
                      <w:i w:val="0"/>
                      <w:color w:val="FFFFFF"/>
                      <w:kern w:val="0"/>
                      <w:sz w:val="18"/>
                      <w:szCs w:val="18"/>
                      <w:u w:val="none"/>
                      <w:bdr w:val="none" w:color="auto" w:sz="0" w:space="0"/>
                      <w:lang w:val="en-US" w:eastAsia="zh-CN" w:bidi="ar"/>
                    </w:rPr>
                    <w:t>研究方向</w:t>
                  </w:r>
                </w:p>
              </w:tc>
              <w:tc>
                <w:tcPr>
                  <w:tcW w:w="3300" w:type="pct"/>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jc w:val="left"/>
                    <w:rPr>
                      <w:rFonts w:hint="eastAsia" w:ascii="宋体" w:hAnsi="宋体" w:eastAsia="宋体" w:cs="宋体"/>
                      <w:b/>
                      <w:i w:val="0"/>
                      <w:color w:val="FFFFFF"/>
                      <w:sz w:val="18"/>
                      <w:szCs w:val="18"/>
                      <w:u w:val="none"/>
                    </w:rPr>
                  </w:pPr>
                  <w:r>
                    <w:rPr>
                      <w:rStyle w:val="4"/>
                      <w:rFonts w:hint="eastAsia" w:ascii="宋体" w:hAnsi="宋体" w:eastAsia="宋体" w:cs="宋体"/>
                      <w:i w:val="0"/>
                      <w:color w:val="FFFFFF"/>
                      <w:kern w:val="0"/>
                      <w:sz w:val="18"/>
                      <w:szCs w:val="18"/>
                      <w:u w:val="none"/>
                      <w:bdr w:val="none" w:color="auto" w:sz="0" w:space="0"/>
                      <w:lang w:val="en-US" w:eastAsia="zh-CN" w:bidi="ar"/>
                    </w:rPr>
                    <w:t>初试科目</w:t>
                  </w:r>
                </w:p>
              </w:tc>
            </w:tr>
            <w:tr>
              <w:tblPrEx>
                <w:shd w:val="clear" w:color="auto" w:fill="CCCCCC"/>
                <w:tblCellMar>
                  <w:top w:w="0" w:type="dxa"/>
                  <w:left w:w="0" w:type="dxa"/>
                  <w:bottom w:w="0" w:type="dxa"/>
                  <w:right w:w="0" w:type="dxa"/>
                </w:tblCellMar>
              </w:tblPrEx>
              <w:trPr>
                <w:tblCellSpacing w:w="7" w:type="dxa"/>
              </w:trPr>
              <w:tc>
                <w:tcPr>
                  <w:tcW w:w="16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1、环境光学</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2、大气光学</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3、光学遥感</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4、激光光谱</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5、环境监测</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6、大气物理与大气环境</w:t>
                  </w:r>
                </w:p>
              </w:tc>
              <w:tc>
                <w:tcPr>
                  <w:tcW w:w="33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第一组</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101思想政治理论</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204英语二</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302数学二</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820环境科学基础或847大气物理学</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第二组</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101思想政治理论</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204英语二</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302数学二</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808电路与电子线路或814工程光学或821机械设计</w:t>
                  </w:r>
                </w:p>
              </w:tc>
            </w:tr>
            <w:tr>
              <w:tblPrEx>
                <w:tblCellMar>
                  <w:top w:w="0" w:type="dxa"/>
                  <w:left w:w="0" w:type="dxa"/>
                  <w:bottom w:w="0" w:type="dxa"/>
                  <w:right w:w="0" w:type="dxa"/>
                </w:tblCellMar>
              </w:tblPrEx>
              <w:trPr>
                <w:tblCellSpacing w:w="7" w:type="dxa"/>
              </w:trPr>
              <w:tc>
                <w:tcPr>
                  <w:tcW w:w="165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7、环境毒理</w:t>
                  </w:r>
                </w:p>
              </w:tc>
              <w:tc>
                <w:tcPr>
                  <w:tcW w:w="3300" w:type="pc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jc w:val="left"/>
                    <w:rPr>
                      <w:rFonts w:hint="eastAsia" w:ascii="宋体" w:hAnsi="宋体" w:eastAsia="宋体" w:cs="宋体"/>
                      <w:i w:val="0"/>
                      <w:color w:val="003399"/>
                      <w:sz w:val="18"/>
                      <w:szCs w:val="18"/>
                      <w:u w:val="none"/>
                    </w:rPr>
                  </w:pPr>
                  <w:r>
                    <w:rPr>
                      <w:rFonts w:hint="eastAsia" w:ascii="宋体" w:hAnsi="宋体" w:eastAsia="宋体" w:cs="宋体"/>
                      <w:i w:val="0"/>
                      <w:color w:val="003399"/>
                      <w:kern w:val="0"/>
                      <w:sz w:val="18"/>
                      <w:szCs w:val="18"/>
                      <w:u w:val="none"/>
                      <w:bdr w:val="none" w:color="auto" w:sz="0" w:space="0"/>
                      <w:lang w:val="en-US" w:eastAsia="zh-CN" w:bidi="ar"/>
                    </w:rPr>
                    <w:t>101思想政治理论</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204英语二</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302数学二</w:t>
                  </w:r>
                  <w:r>
                    <w:rPr>
                      <w:rFonts w:hint="eastAsia" w:ascii="宋体" w:hAnsi="宋体" w:eastAsia="宋体" w:cs="宋体"/>
                      <w:i w:val="0"/>
                      <w:color w:val="003399"/>
                      <w:kern w:val="0"/>
                      <w:sz w:val="18"/>
                      <w:szCs w:val="18"/>
                      <w:u w:val="none"/>
                      <w:bdr w:val="none" w:color="auto" w:sz="0" w:space="0"/>
                      <w:lang w:val="en-US" w:eastAsia="zh-CN" w:bidi="ar"/>
                    </w:rPr>
                    <w:br w:type="textWrapping"/>
                  </w:r>
                  <w:r>
                    <w:rPr>
                      <w:rFonts w:hint="eastAsia" w:ascii="宋体" w:hAnsi="宋体" w:eastAsia="宋体" w:cs="宋体"/>
                      <w:i w:val="0"/>
                      <w:color w:val="003399"/>
                      <w:kern w:val="0"/>
                      <w:sz w:val="18"/>
                      <w:szCs w:val="18"/>
                      <w:u w:val="none"/>
                      <w:bdr w:val="none" w:color="auto" w:sz="0" w:space="0"/>
                      <w:lang w:val="en-US" w:eastAsia="zh-CN" w:bidi="ar"/>
                    </w:rPr>
                    <w:t>841细胞生物学</w:t>
                  </w:r>
                </w:p>
              </w:tc>
            </w:tr>
          </w:tbl>
          <w:p>
            <w:pPr>
              <w:keepNext w:val="0"/>
              <w:keepLines w:val="0"/>
              <w:widowControl/>
              <w:suppressLineNumbers w:val="0"/>
              <w:jc w:val="left"/>
            </w:pP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四、复试形式：</w:t>
            </w:r>
            <w:r>
              <w:rPr>
                <w:rFonts w:hint="eastAsia" w:ascii="宋体" w:hAnsi="宋体" w:eastAsia="宋体" w:cs="宋体"/>
                <w:i w:val="0"/>
                <w:caps w:val="0"/>
                <w:color w:val="575757"/>
                <w:spacing w:val="0"/>
                <w:kern w:val="0"/>
                <w:sz w:val="18"/>
                <w:szCs w:val="18"/>
                <w:u w:val="none"/>
                <w:bdr w:val="none" w:color="auto" w:sz="0" w:space="0"/>
                <w:lang w:val="en-US" w:eastAsia="zh-CN" w:bidi="ar"/>
              </w:rPr>
              <w:t>面试。</w:t>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五、复试内容：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自我介绍（满分20分）。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专业素质与综合素质考核（满分60分）：专业素质考核重点考察考生对本学科（专业）理论知识和应用技能的掌握程度，特别是考生对本专业基本知识和基本概念的掌握和理解、对本学科发展动态的了解以及考生在本专业领域发展的潜力；综合素质考核重点考察考生思想政治素质和道德品质、本专业以外的学习、科研和社会实践等方面的经历、个性特征、诚信状况和意志品质等。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i w:val="0"/>
                <w:caps w:val="0"/>
                <w:color w:val="575757"/>
                <w:spacing w:val="0"/>
                <w:kern w:val="0"/>
                <w:sz w:val="18"/>
                <w:szCs w:val="18"/>
                <w:u w:val="none"/>
                <w:bdr w:val="none" w:color="auto" w:sz="0" w:space="0"/>
                <w:lang w:val="en-US" w:eastAsia="zh-CN" w:bidi="ar"/>
              </w:rPr>
              <w:t>英语听说读写能力测试（满分20分）。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六、复试成绩：</w:t>
            </w:r>
            <w:r>
              <w:rPr>
                <w:rFonts w:hint="eastAsia" w:ascii="宋体" w:hAnsi="宋体" w:eastAsia="宋体" w:cs="宋体"/>
                <w:i w:val="0"/>
                <w:caps w:val="0"/>
                <w:color w:val="575757"/>
                <w:spacing w:val="0"/>
                <w:kern w:val="0"/>
                <w:sz w:val="18"/>
                <w:szCs w:val="18"/>
                <w:u w:val="none"/>
                <w:bdr w:val="none" w:color="auto" w:sz="0" w:space="0"/>
                <w:lang w:val="en-US" w:eastAsia="zh-CN" w:bidi="ar"/>
              </w:rPr>
              <w:t>满分100分。</w:t>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七、最终成绩：满</w:t>
            </w:r>
            <w:r>
              <w:rPr>
                <w:rFonts w:hint="eastAsia" w:ascii="宋体" w:hAnsi="宋体" w:eastAsia="宋体" w:cs="宋体"/>
                <w:i w:val="0"/>
                <w:caps w:val="0"/>
                <w:color w:val="575757"/>
                <w:spacing w:val="0"/>
                <w:kern w:val="0"/>
                <w:sz w:val="18"/>
                <w:szCs w:val="18"/>
                <w:u w:val="none"/>
                <w:bdr w:val="none" w:color="auto" w:sz="0" w:space="0"/>
                <w:lang w:val="en-US" w:eastAsia="zh-CN" w:bidi="ar"/>
              </w:rPr>
              <w:t>分100分，初试成绩不计政治、外语，复试成绩占比50%，即最终成绩=（初试成绩【不计政治、外语】÷3+复试成绩）÷2。</w:t>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八、录取：</w:t>
            </w:r>
            <w:r>
              <w:rPr>
                <w:rFonts w:hint="eastAsia" w:ascii="宋体" w:hAnsi="宋体" w:eastAsia="宋体" w:cs="宋体"/>
                <w:i w:val="0"/>
                <w:caps w:val="0"/>
                <w:color w:val="575757"/>
                <w:spacing w:val="0"/>
                <w:kern w:val="0"/>
                <w:sz w:val="18"/>
                <w:szCs w:val="18"/>
                <w:u w:val="none"/>
                <w:bdr w:val="none" w:color="auto" w:sz="0" w:space="0"/>
                <w:lang w:val="en-US" w:eastAsia="zh-CN" w:bidi="ar"/>
              </w:rPr>
              <w:t>按最终成绩由高到低排序，提出拟录取名单报批。为保证招生质量，报批人数可小于招生计划。</w:t>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九、调剂：</w:t>
            </w:r>
            <w:r>
              <w:rPr>
                <w:rFonts w:hint="eastAsia" w:ascii="宋体" w:hAnsi="宋体" w:eastAsia="宋体" w:cs="宋体"/>
                <w:i w:val="0"/>
                <w:caps w:val="0"/>
                <w:color w:val="575757"/>
                <w:spacing w:val="0"/>
                <w:kern w:val="0"/>
                <w:sz w:val="18"/>
                <w:szCs w:val="18"/>
                <w:u w:val="none"/>
                <w:bdr w:val="none" w:color="auto" w:sz="0" w:space="0"/>
                <w:lang w:val="en-US" w:eastAsia="zh-CN" w:bidi="ar"/>
              </w:rPr>
              <w:t>本专业在生源不足的情况下接受调剂。调剂信息将于复试阶段在中国科大研究生招生在线网站（http://yz.ustc.edu.cn）发布。调剂对象为报考我校相关专业的考生。调剂考生须符合我校《硕士研究生招生复试工作章程》有关规定。我单位对申请调剂考生的成绩及相关材料进行审核，择优通知复试，复试形式、内容、录取办法等同上。 </w:t>
            </w:r>
            <w:r>
              <w:rPr>
                <w:rFonts w:hint="eastAsia" w:ascii="宋体" w:hAnsi="宋体" w:eastAsia="宋体" w:cs="宋体"/>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十、学费标准：</w:t>
            </w:r>
            <w:r>
              <w:rPr>
                <w:rFonts w:hint="eastAsia" w:ascii="宋体" w:hAnsi="宋体" w:eastAsia="宋体" w:cs="宋体"/>
                <w:i w:val="0"/>
                <w:caps w:val="0"/>
                <w:color w:val="575757"/>
                <w:spacing w:val="0"/>
                <w:kern w:val="0"/>
                <w:sz w:val="18"/>
                <w:szCs w:val="18"/>
                <w:u w:val="none"/>
                <w:bdr w:val="none" w:color="auto" w:sz="0" w:space="0"/>
                <w:lang w:val="en-US" w:eastAsia="zh-CN" w:bidi="ar"/>
              </w:rPr>
              <w:t>8000元/学年。</w:t>
            </w:r>
          </w:p>
        </w:tc>
      </w:tr>
    </w:tbl>
    <w:p>
      <w:pPr>
        <w:rPr>
          <w:rFonts w:hint="eastAsia" w:ascii="宋体" w:hAnsi="宋体" w:eastAsia="宋体" w:cs="宋体"/>
          <w:b/>
          <w:i w:val="0"/>
          <w:caps w:val="0"/>
          <w:color w:val="666666"/>
          <w:spacing w:val="0"/>
          <w:sz w:val="18"/>
          <w:szCs w:val="18"/>
          <w:shd w:val="clear" w:fill="EFEFEF"/>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C466EC"/>
    <w:rsid w:val="55C46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2019-12-03T09:45:00Z</dcterms:created>
  <dc:creator>Administrator</dc:creator>
  <cp:lastModifiedBy>Administrator</cp:lastModifiedBy>
  <dcterms:modified xsi:type="dcterms:W3CDTF">2019-12-03T09:46:42Z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