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公共事务学院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公共事务学院包含以下专业：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1950"/>
              <w:gridCol w:w="1800"/>
              <w:gridCol w:w="1200"/>
              <w:gridCol w:w="1350"/>
            </w:tblGrid>
            <w:tr>
              <w:tblPrEx>
                <w:tblCellMar>
                  <w:top w:w="0" w:type="dxa"/>
                  <w:left w:w="0" w:type="dxa"/>
                  <w:bottom w:w="0" w:type="dxa"/>
                  <w:right w:w="0" w:type="dxa"/>
                </w:tblCellMar>
              </w:tblPrEx>
              <w:trPr>
                <w:tblCellSpacing w:w="0" w:type="dxa"/>
              </w:trPr>
              <w:tc>
                <w:tcPr>
                  <w:tcW w:w="1950" w:type="dxa"/>
                  <w:shd w:val="clear"/>
                  <w:vAlign w:val="center"/>
                </w:tcPr>
                <w:tbl>
                  <w:tblPr>
                    <w:tblW w:w="1950" w:type="dxa"/>
                    <w:tblCellSpacing w:w="0" w:type="dxa"/>
                    <w:tblInd w:w="0" w:type="dxa"/>
                    <w:shd w:val="clear"/>
                    <w:tblLayout w:type="autofit"/>
                    <w:tblCellMar>
                      <w:top w:w="0" w:type="dxa"/>
                      <w:left w:w="0" w:type="dxa"/>
                      <w:bottom w:w="0" w:type="dxa"/>
                      <w:right w:w="0" w:type="dxa"/>
                    </w:tblCellMar>
                  </w:tblPr>
                  <w:tblGrid>
                    <w:gridCol w:w="1950"/>
                  </w:tblGrid>
                  <w:tr>
                    <w:tblPrEx>
                      <w:tblCellMar>
                        <w:top w:w="0" w:type="dxa"/>
                        <w:left w:w="0" w:type="dxa"/>
                        <w:bottom w:w="0" w:type="dxa"/>
                        <w:right w:w="0" w:type="dxa"/>
                      </w:tblCellM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公共管理（MPA）</w:t>
                        </w:r>
                      </w:p>
                    </w:tc>
                  </w:tr>
                </w:tbl>
                <w:p>
                  <w:pPr>
                    <w:spacing w:line="330" w:lineRule="atLeast"/>
                    <w:jc w:val="left"/>
                  </w:pPr>
                </w:p>
              </w:tc>
              <w:tc>
                <w:tcPr>
                  <w:tcW w:w="1800" w:type="dxa"/>
                  <w:shd w:val="clear"/>
                  <w:vAlign w:val="center"/>
                </w:tcPr>
                <w:tbl>
                  <w:tblPr>
                    <w:tblW w:w="1800" w:type="dxa"/>
                    <w:tblCellSpacing w:w="0" w:type="dxa"/>
                    <w:tblInd w:w="0" w:type="dxa"/>
                    <w:shd w:val="clear"/>
                    <w:tblLayout w:type="autofit"/>
                    <w:tblCellMar>
                      <w:top w:w="0" w:type="dxa"/>
                      <w:left w:w="0" w:type="dxa"/>
                      <w:bottom w:w="0" w:type="dxa"/>
                      <w:right w:w="0" w:type="dxa"/>
                    </w:tblCellMar>
                  </w:tblPr>
                  <w:tblGrid>
                    <w:gridCol w:w="1800"/>
                  </w:tblGrid>
                  <w:tr>
                    <w:tblPrEx>
                      <w:tblCellMar>
                        <w:top w:w="0" w:type="dxa"/>
                        <w:left w:w="0" w:type="dxa"/>
                        <w:bottom w:w="0" w:type="dxa"/>
                        <w:right w:w="0" w:type="dxa"/>
                      </w:tblCellM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法律（非法学）</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shd w:val="clear"/>
                      <w:tblCellMar>
                        <w:top w:w="0" w:type="dxa"/>
                        <w:left w:w="0" w:type="dxa"/>
                        <w:bottom w:w="0" w:type="dxa"/>
                        <w:right w:w="0" w:type="dxa"/>
                      </w:tblCellM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法 学</w:t>
                        </w:r>
                      </w:p>
                    </w:tc>
                  </w:tr>
                </w:tbl>
                <w:p>
                  <w:pPr>
                    <w:spacing w:line="330" w:lineRule="atLeast"/>
                    <w:jc w:val="left"/>
                  </w:pPr>
                </w:p>
              </w:tc>
              <w:tc>
                <w:tcPr>
                  <w:tcW w:w="1350" w:type="dxa"/>
                  <w:shd w:val="clear"/>
                  <w:vAlign w:val="center"/>
                </w:tcPr>
                <w:tbl>
                  <w:tblPr>
                    <w:tblW w:w="1350" w:type="dxa"/>
                    <w:tblCellSpacing w:w="0" w:type="dxa"/>
                    <w:tblInd w:w="0" w:type="dxa"/>
                    <w:shd w:val="clear"/>
                    <w:tblLayout w:type="autofit"/>
                    <w:tblCellMar>
                      <w:top w:w="0" w:type="dxa"/>
                      <w:left w:w="0" w:type="dxa"/>
                      <w:bottom w:w="0" w:type="dxa"/>
                      <w:right w:w="0" w:type="dxa"/>
                    </w:tblCellMar>
                  </w:tblPr>
                  <w:tblGrid>
                    <w:gridCol w:w="1350"/>
                  </w:tblGrid>
                  <w:tr>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公共管理</w:t>
                        </w:r>
                      </w:p>
                    </w:tc>
                  </w:tr>
                </w:tbl>
                <w:p>
                  <w:pPr>
                    <w:spacing w:line="330" w:lineRule="atLeast"/>
                    <w:jc w:val="left"/>
                  </w:pPr>
                </w:p>
              </w:tc>
            </w:tr>
          </w:tbl>
          <w:p>
            <w:pPr>
              <w:jc w:val="left"/>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11100"/>
            </w:tblGrid>
            <w:tr>
              <w:tblPrEx>
                <w:shd w:val="clear"/>
                <w:tblCellMar>
                  <w:top w:w="0" w:type="dxa"/>
                  <w:left w:w="0" w:type="dxa"/>
                  <w:bottom w:w="0" w:type="dxa"/>
                  <w:right w:w="0" w:type="dxa"/>
                </w:tblCellMar>
              </w:tblPrEx>
              <w:trPr>
                <w:trHeight w:val="151" w:hRule="atLeast"/>
                <w:tblCellSpacing w:w="0" w:type="dxa"/>
                <w:jc w:val="center"/>
              </w:trPr>
              <w:tc>
                <w:tcPr>
                  <w:tcW w:w="0" w:type="auto"/>
                  <w:shd w:val="clear"/>
                  <w:vAlign w:val="center"/>
                </w:tcPr>
                <w:p>
                  <w:pPr>
                    <w:rPr>
                      <w:rFonts w:hint="eastAsia" w:ascii="宋体"/>
                      <w:sz w:val="24"/>
                      <w:szCs w:val="24"/>
                    </w:rPr>
                  </w:pPr>
                </w:p>
              </w:tc>
            </w:tr>
            <w:tr>
              <w:tblPrEx>
                <w:tblCellMar>
                  <w:top w:w="0" w:type="dxa"/>
                  <w:left w:w="0" w:type="dxa"/>
                  <w:bottom w:w="0" w:type="dxa"/>
                  <w:right w:w="0" w:type="dxa"/>
                </w:tblCellM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学科专业名称：公共管理（MPA）</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125200）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4"/>
                      <w:rFonts w:hint="eastAsia" w:ascii="宋体" w:hAnsi="宋体" w:eastAsia="宋体" w:cs="宋体"/>
                      <w:i w:val="0"/>
                      <w:color w:val="575757"/>
                      <w:kern w:val="0"/>
                      <w:sz w:val="18"/>
                      <w:szCs w:val="18"/>
                      <w:u w:val="none"/>
                      <w:bdr w:val="none" w:color="auto" w:sz="0" w:space="0"/>
                      <w:lang w:val="en-US" w:eastAsia="zh-CN" w:bidi="ar"/>
                    </w:rPr>
                    <w:t>一、报考条件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报考条件执行国家有关规定，其中工作年限要求为：国民教育序列博士、硕士毕业后工作2年及以上，本科毕业后工作3年及以上，专科毕业后工作5年及以上。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二、专业介绍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中国科大是首批获得MPA教育办学权的24所试点院校之一，至今已累计培养3000多名MPA专业人才。学校着力打造国内一流的MPA品牌，实施了“十百千万”工程，全面提高学员的综合能力；启动“海外研修计划”，开阔学员国际视野。良好的学术氛围、严格的教学环节管理、丰富的校友资源，使我校MPA在国内独树一帜。2006年11月以“优秀”通过国务院学位办组织的“全国首批MPA培养院校MPA教学评估”。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中国科大MPA教育秉持积极为我国经济、政治和社会发展服务的宗旨，在培养优秀复合型公共管理人才的同时，积极探索“面向行业、定向培养”的模式，紧盯我国经济、政治、文化和社会发展现实需要，开办订单式的行业MPA、部门MPA、企事业MPA，为各行业培养理念新、视野广、能力强的高级应用型人才。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三、培养方式和学制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培养方式：非全日制在职培养。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学制：3年；最长学习年限为5年。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四、研究方向及初试科目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75"/>
                    <w:gridCol w:w="5475"/>
                  </w:tblGrid>
                  <w:tr>
                    <w:tblPrEx>
                      <w:shd w:val="clear" w:color="auto" w:fill="CCCCCC"/>
                      <w:tblCellMar>
                        <w:top w:w="0" w:type="dxa"/>
                        <w:left w:w="0" w:type="dxa"/>
                        <w:bottom w:w="0" w:type="dxa"/>
                        <w:right w:w="0" w:type="dxa"/>
                      </w:tblCellMar>
                    </w:tblPrEx>
                    <w:trPr>
                      <w:tblCellSpacing w:w="7" w:type="dxa"/>
                    </w:trPr>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1、公共事务管理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2、公共经济管理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3、知识产权政策与管理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4、科技政策与管理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5、公共卫生政策与管理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6、环境政策与管理</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199管理类联考综合能力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p>
                    </w:tc>
                  </w:tr>
                </w:tbl>
                <w:p>
                  <w:pPr>
                    <w:keepNext w:val="0"/>
                    <w:keepLines w:val="0"/>
                    <w:widowControl/>
                    <w:suppressLineNumbers w:val="0"/>
                    <w:jc w:val="left"/>
                  </w:pPr>
                  <w:r>
                    <w:rPr>
                      <w:rStyle w:val="4"/>
                      <w:rFonts w:hint="eastAsia" w:ascii="宋体" w:hAnsi="宋体" w:eastAsia="宋体" w:cs="宋体"/>
                      <w:i w:val="0"/>
                      <w:color w:val="575757"/>
                      <w:kern w:val="0"/>
                      <w:sz w:val="18"/>
                      <w:szCs w:val="18"/>
                      <w:u w:val="none"/>
                      <w:bdr w:val="none" w:color="auto" w:sz="0" w:space="0"/>
                      <w:lang w:val="en-US" w:eastAsia="zh-CN" w:bidi="ar"/>
                    </w:rPr>
                    <w:t>五、复试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1、复试批次：</w:t>
                  </w:r>
                  <w:r>
                    <w:rPr>
                      <w:rFonts w:hint="eastAsia" w:ascii="宋体" w:hAnsi="宋体" w:eastAsia="宋体" w:cs="宋体"/>
                      <w:i w:val="0"/>
                      <w:color w:val="575757"/>
                      <w:kern w:val="0"/>
                      <w:sz w:val="18"/>
                      <w:szCs w:val="18"/>
                      <w:u w:val="none"/>
                      <w:bdr w:val="none" w:color="auto" w:sz="0" w:space="0"/>
                      <w:lang w:val="en-US" w:eastAsia="zh-CN" w:bidi="ar"/>
                    </w:rPr>
                    <w:t>包括提前批次和正常批次。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2、复试形式：</w:t>
                  </w:r>
                  <w:r>
                    <w:rPr>
                      <w:rFonts w:hint="eastAsia" w:ascii="宋体" w:hAnsi="宋体" w:eastAsia="宋体" w:cs="宋体"/>
                      <w:i w:val="0"/>
                      <w:color w:val="575757"/>
                      <w:kern w:val="0"/>
                      <w:sz w:val="18"/>
                      <w:szCs w:val="18"/>
                      <w:u w:val="none"/>
                      <w:bdr w:val="none" w:color="auto" w:sz="0" w:space="0"/>
                      <w:lang w:val="en-US" w:eastAsia="zh-CN" w:bidi="ar"/>
                    </w:rPr>
                    <w:t>综合面试。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3、复试内容：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包括政治理论及其运用能力、英语应用能力、专业及综合能力。英语主要考查考生的听、说、译能力；政治和专业及综合能力主要考查考生对相关基本理论的理解能力、表达能力、逻辑思维能力、分析与解决问题能力及应变能力。考核范围为基本理论、近年来的社会热点问题和国内外大事。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4、复试成绩：</w:t>
                  </w:r>
                  <w:r>
                    <w:rPr>
                      <w:rFonts w:hint="eastAsia" w:ascii="宋体" w:hAnsi="宋体" w:eastAsia="宋体" w:cs="宋体"/>
                      <w:i w:val="0"/>
                      <w:color w:val="575757"/>
                      <w:kern w:val="0"/>
                      <w:sz w:val="18"/>
                      <w:szCs w:val="18"/>
                      <w:u w:val="none"/>
                      <w:bdr w:val="none" w:color="auto" w:sz="0" w:space="0"/>
                      <w:lang w:val="en-US" w:eastAsia="zh-CN" w:bidi="ar"/>
                    </w:rPr>
                    <w:t>满分100分。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六、最终成绩：</w:t>
                  </w:r>
                  <w:r>
                    <w:rPr>
                      <w:rFonts w:hint="eastAsia" w:ascii="宋体" w:hAnsi="宋体" w:eastAsia="宋体" w:cs="宋体"/>
                      <w:i w:val="0"/>
                      <w:color w:val="575757"/>
                      <w:kern w:val="0"/>
                      <w:sz w:val="18"/>
                      <w:szCs w:val="18"/>
                      <w:u w:val="none"/>
                      <w:bdr w:val="none" w:color="auto" w:sz="0" w:space="0"/>
                      <w:lang w:val="en-US" w:eastAsia="zh-CN" w:bidi="ar"/>
                    </w:rPr>
                    <w:t>满分100分。复试成绩占比50%，即，最终成绩=（初试成绩÷3+复试成绩）÷2。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七、录取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提前批次：提前批次复试优秀获学校自主划定B线条件录取资格(初试成绩达学校自主划定B线即拟录取），提前批次复试合格获得学校自主划定A线条件录取资格(初试成绩达学校自主划定A线即拟录取），中心汇总拟录取名单报批；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正常批次：按最终成绩由高到低排序，提出拟录取名单报批。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为保证招生质量，报批人数可小于招生计划。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八、调剂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Style w:val="4"/>
                      <w:rFonts w:hint="eastAsia" w:ascii="宋体" w:hAnsi="宋体" w:eastAsia="宋体" w:cs="宋体"/>
                      <w:i w:val="0"/>
                      <w:color w:val="575757"/>
                      <w:kern w:val="0"/>
                      <w:sz w:val="18"/>
                      <w:szCs w:val="18"/>
                      <w:u w:val="none"/>
                      <w:bdr w:val="none" w:color="auto" w:sz="0" w:space="0"/>
                      <w:lang w:val="en-US" w:eastAsia="zh-CN" w:bidi="ar"/>
                    </w:rPr>
                    <w:t>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九、学费标准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共计7万元，第一、二学年初各缴3.5万元。</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学科专业名称：法律（非法学）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035101）</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中国科学技术大学法律硕士教育秉承规模适度、特色鲜明、包容开放、质量至上的办学理念，重点培养知识产权法、民商法、经济法等领域的高层次、复合型、应用型人才。学生毕业后，既可从事专门的司法和执法工作，也可以到政府部门、企事业单位及相关的法律服务机构从事与法律专业相关的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547"/>
              <w:gridCol w:w="7403"/>
            </w:tblGrid>
            <w:tr>
              <w:tblPrEx>
                <w:shd w:val="clear" w:color="auto" w:fill="CCCCCC"/>
                <w:tblCellMar>
                  <w:top w:w="0" w:type="dxa"/>
                  <w:left w:w="0" w:type="dxa"/>
                  <w:bottom w:w="0" w:type="dxa"/>
                  <w:right w:w="0" w:type="dxa"/>
                </w:tblCellMar>
              </w:tblPrEx>
              <w:trPr>
                <w:tblCellSpacing w:w="7" w:type="dxa"/>
              </w:trPr>
              <w:tc>
                <w:tcPr>
                  <w:tcW w:w="1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1、知识产权法</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2、民商法</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3、经济法</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4、刑法</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5、行政法</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6、科技法</w:t>
                  </w:r>
                </w:p>
              </w:tc>
              <w:tc>
                <w:tcPr>
                  <w:tcW w:w="3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398法硕联考专业基础（非法学）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498法硕联考综合（非法学）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笔试包括民法（满分100分）和刑法（满分100分）两个部分。考试内容为全国法律硕士联考考试大纲规定的范围。同等学力考生还需要加试两门法律本科主干科目，每门满分100分。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面试包括专业基本素质考核和英语听说考核两个部分，满分100分。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：满分100分。笔试满分200分、面试满分100分。复试成绩=（笔试成绩+面试成绩）÷3。复试成绩不合格者，不予录取。</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：共计4.2万元，第一、二、三学年初各缴1.4万元。</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学科专业名称：法学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030100）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本专业立足于中国特色社会主义市场经济建设和法治社会建设的需要，培养具有社会主义法治理念和法学相关理论，德才兼备，能够独立从事科研、教学和实务工作的高层次、复合型专门人才。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538"/>
              <w:gridCol w:w="6412"/>
            </w:tblGrid>
            <w:tr>
              <w:tblPrEx>
                <w:shd w:val="clear" w:color="auto" w:fill="CCCCCC"/>
                <w:tblCellMar>
                  <w:top w:w="0" w:type="dxa"/>
                  <w:left w:w="0" w:type="dxa"/>
                  <w:bottom w:w="0" w:type="dxa"/>
                  <w:right w:w="0" w:type="dxa"/>
                </w:tblCellMar>
              </w:tblPrEx>
              <w:trPr>
                <w:tblCellSpacing w:w="7" w:type="dxa"/>
              </w:trPr>
              <w:tc>
                <w:tcPr>
                  <w:tcW w:w="20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9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0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1、知识产权法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2、科技法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3、民商法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4、社会法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5、经济法</w:t>
                  </w:r>
                </w:p>
              </w:tc>
              <w:tc>
                <w:tcPr>
                  <w:tcW w:w="29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629法理学和宪法学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859民法学和经济法学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包括知识产权法（满分100分）和诉讼法（满分100分）两个部分。面试包括专业基本素质考核（满分50分）和英语考核（满分50分）。专业基本素质考核主要考查考生对本专业基本知识的掌握、基本理论的理解和运用、对本学科发展动态的了解。英语考核主要考查学生的英语听说能力。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满分100分。笔试满分200分、面试满分100分，复试成绩=（笔试成绩+面试成绩）÷3。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学科专业名称：公共管理</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120400）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接收推免生和统考生。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本一级学科下主要涵盖四个二级学科专业：行政管理、科技政策与知识产权管理、教育经济与管理、社会保障。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行政管理专业致力于培养具有扎实的基础知识和系统的专业知识，熟悉我国和国际行政管理理论和实践的现状和发展趋势，具备一定的科学研究能力，能独立分析和解决实际问题，德智体全面发展，适应在公共部门（尤其是党政机关）和企事业单位从事实际行政管理工作的应用型人才，以及在高校、党校、行政学院和科研单位从事教学科研工作的学术型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科技政策与知识产权管理专业致力于培养具有扎实的基础知识和系统的专业知识，熟悉我国和国际科技政策及知识产权相关法规，了解最新现状和发展趋势，具备一定的科学研究能力，能独立分析和解决实际问题，德智体全面发展，能在企业、学校、政府机关和其他社会组织独立从事相关管理工作的高层次专门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教育经济与管理专业致力于培养在教育经济与管理领域掌握坚实的基础理论和系统的专门知识，具有独立担负本学科的科学研究和高等学校教学工作的能力，能在企业、学校、政府机关和其他社会组织独立从事教育经济与管理研究以及人力资源开发工作的高层次专门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社会保障专业致力于培养研究社会保障理论和制度设计，熟悉中国社会保障理论与政策的现状及发展趋势，能够在政府社会保障相关管理部门、保险公司等大型企业、有关教学科研单位，以及工青妇组织及重要的慈善公益团体从事相关实际工作的高层次复合型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75"/>
              <w:gridCol w:w="5475"/>
            </w:tblGrid>
            <w:tr>
              <w:tblPrEx>
                <w:shd w:val="clear" w:color="auto" w:fill="CCCCCC"/>
              </w:tblPrEx>
              <w:trPr>
                <w:tblCellSpacing w:w="7" w:type="dxa"/>
              </w:trPr>
              <w:tc>
                <w:tcPr>
                  <w:tcW w:w="25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1、行政管理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2、知识产权管理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3、科技政策与科技管理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4、创新管理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5、环境政策与管理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6、健康与医疗保障</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303数学三</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858公共管理与公共政策</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复试旨在考核考生的专业素质和综合素质。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其中专业素质考核以考察考生对本学科（专业）理论知识和应用技能掌握程度，特别是考察考生对本专业基本知识和基本概念的掌握和理解、对本学科发展动态的了解以及在本专业领域发展的潜力。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综合素质考核是考察考生思想政治素质和道德品质、英语听说能力、本专业以外的学习、科研和社会实践或实际工作等方面的经历、个性心理特征、诚信状况、意志品质等。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本专业笔试科目：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1、英语写作（满分100分）；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2、公共行政与公共事务（满分100分）。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本专业面试包括专业基本素质考核和英语听说考核两个部分，满分200分。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满分100分。笔试满分200分、面试满分200分，复试成绩=（笔试成绩+面试成绩）÷4。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83A1D"/>
    <w:rsid w:val="1498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2019-12-03T09:34:00Z</dcterms:created>
  <dc:creator>Administrator</dc:creator>
  <cp:lastModifiedBy>Administrator</cp:lastModifiedBy>
  <dcterms:modified xsi:type="dcterms:W3CDTF">2019-12-03T09:36:01Z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