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计算机科学与技术学院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计算机科学与技术学院包含以下专业：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6450" w:type="dxa"/>
              <w:tblCellSpacing w:w="0" w:type="dxa"/>
              <w:tblInd w:w="0" w:type="dxa"/>
              <w:shd w:val="clear"/>
              <w:tblLayout w:type="autofit"/>
              <w:tblCellMar>
                <w:top w:w="0" w:type="dxa"/>
                <w:left w:w="0" w:type="dxa"/>
                <w:bottom w:w="0" w:type="dxa"/>
                <w:right w:w="0" w:type="dxa"/>
              </w:tblCellMar>
            </w:tblPr>
            <w:tblGrid>
              <w:gridCol w:w="1950"/>
              <w:gridCol w:w="1200"/>
              <w:gridCol w:w="2250"/>
              <w:gridCol w:w="1050"/>
            </w:tblGrid>
            <w:tr>
              <w:tblPrEx>
                <w:shd w:val="clear"/>
                <w:tblCellMar>
                  <w:top w:w="0" w:type="dxa"/>
                  <w:left w:w="0" w:type="dxa"/>
                  <w:bottom w:w="0" w:type="dxa"/>
                  <w:right w:w="0" w:type="dxa"/>
                </w:tblCellMar>
              </w:tblPrEx>
              <w:trPr>
                <w:tblCellSpacing w:w="0" w:type="dxa"/>
              </w:trPr>
              <w:tc>
                <w:tcPr>
                  <w:tcW w:w="1950" w:type="dxa"/>
                  <w:shd w:val="clear"/>
                  <w:vAlign w:val="center"/>
                </w:tcPr>
                <w:tbl>
                  <w:tblPr>
                    <w:tblW w:w="1950" w:type="dxa"/>
                    <w:tblCellSpacing w:w="0" w:type="dxa"/>
                    <w:tblInd w:w="0" w:type="dxa"/>
                    <w:shd w:val="clear"/>
                    <w:tblLayout w:type="autofit"/>
                    <w:tblCellMar>
                      <w:top w:w="0" w:type="dxa"/>
                      <w:left w:w="0" w:type="dxa"/>
                      <w:bottom w:w="0" w:type="dxa"/>
                      <w:right w:w="0" w:type="dxa"/>
                    </w:tblCellMar>
                  </w:tblPr>
                  <w:tblGrid>
                    <w:gridCol w:w="1950"/>
                  </w:tblGrid>
                  <w:tr>
                    <w:tblPrEx>
                      <w:shd w:val="clear"/>
                      <w:tblCellMar>
                        <w:top w:w="0" w:type="dxa"/>
                        <w:left w:w="0" w:type="dxa"/>
                        <w:bottom w:w="0" w:type="dxa"/>
                        <w:right w:w="0" w:type="dxa"/>
                      </w:tblCellMar>
                    </w:tblPrEx>
                    <w:trPr>
                      <w:tblCellSpacing w:w="0" w:type="dxa"/>
                    </w:trPr>
                    <w:tc>
                      <w:tcPr>
                        <w:tcW w:w="19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计算机科学与技术</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blCellSpacing w:w="0" w:type="dxa"/>
                    </w:trPr>
                    <w:tc>
                      <w:tcPr>
                        <w:tcW w:w="12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电子信息</w:t>
                        </w:r>
                      </w:p>
                    </w:tc>
                  </w:tr>
                </w:tbl>
                <w:p>
                  <w:pPr>
                    <w:spacing w:line="330" w:lineRule="atLeast"/>
                    <w:jc w:val="left"/>
                  </w:pPr>
                </w:p>
              </w:tc>
              <w:tc>
                <w:tcPr>
                  <w:tcW w:w="2250" w:type="dxa"/>
                  <w:shd w:val="clear"/>
                  <w:vAlign w:val="center"/>
                </w:tcPr>
                <w:tbl>
                  <w:tblPr>
                    <w:tblW w:w="2250" w:type="dxa"/>
                    <w:tblCellSpacing w:w="0" w:type="dxa"/>
                    <w:tblInd w:w="0" w:type="dxa"/>
                    <w:shd w:val="clear"/>
                    <w:tblLayout w:type="autofit"/>
                    <w:tblCellMar>
                      <w:top w:w="0" w:type="dxa"/>
                      <w:left w:w="0" w:type="dxa"/>
                      <w:bottom w:w="0" w:type="dxa"/>
                      <w:right w:w="0" w:type="dxa"/>
                    </w:tblCellMar>
                  </w:tblPr>
                  <w:tblGrid>
                    <w:gridCol w:w="2250"/>
                  </w:tblGrid>
                  <w:tr>
                    <w:tblPrEx>
                      <w:shd w:val="clear"/>
                      <w:tblCellMar>
                        <w:top w:w="0" w:type="dxa"/>
                        <w:left w:w="0" w:type="dxa"/>
                        <w:bottom w:w="0" w:type="dxa"/>
                        <w:right w:w="0" w:type="dxa"/>
                      </w:tblCellM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电子信息（非全日制）</w:t>
                        </w:r>
                      </w:p>
                    </w:tc>
                  </w:tr>
                </w:tbl>
                <w:p>
                  <w:pPr>
                    <w:spacing w:line="330" w:lineRule="atLeast"/>
                    <w:jc w:val="left"/>
                  </w:pPr>
                </w:p>
              </w:tc>
              <w:tc>
                <w:tcPr>
                  <w:tcW w:w="150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学科专业名称：计算机科学与技术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081200）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4"/>
                      <w:rFonts w:hint="eastAsia" w:ascii="宋体" w:hAnsi="宋体" w:eastAsia="宋体" w:cs="宋体"/>
                      <w:i w:val="0"/>
                      <w:color w:val="575757"/>
                      <w:kern w:val="0"/>
                      <w:sz w:val="18"/>
                      <w:szCs w:val="18"/>
                      <w:u w:val="none"/>
                      <w:bdr w:val="none" w:color="auto" w:sz="0" w:space="0"/>
                      <w:lang w:val="en-US" w:eastAsia="zh-CN" w:bidi="ar"/>
                    </w:rPr>
                    <w:t>一、报考说明</w:t>
                  </w:r>
                  <w:r>
                    <w:rPr>
                      <w:rFonts w:hint="eastAsia" w:ascii="宋体" w:hAnsi="宋体" w:eastAsia="宋体" w:cs="宋体"/>
                      <w:i w:val="0"/>
                      <w:color w:val="575757"/>
                      <w:kern w:val="0"/>
                      <w:sz w:val="18"/>
                      <w:szCs w:val="18"/>
                      <w:u w:val="none"/>
                      <w:bdr w:val="none" w:color="auto" w:sz="0" w:space="0"/>
                      <w:lang w:val="en-US" w:eastAsia="zh-CN" w:bidi="ar"/>
                    </w:rPr>
                    <w:t>：接收推免生及统考生。</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二、专业介绍</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本学科培养学生德、智、体全面发展，适合于在高等学校、科研机构、企事业单位从事计算机系统结构相关领域的教学、科研和应用开发等工作的高层次专门人才。掌握计算机学科方面坚实的基础理论和系统的专门知识，了解本学科的发展方向及前沿动向，具备较强的综合运用所学理论知识从事科学研究工作和独立承担专门技术工作的能力，有严谨求实的科学作风和良好的科研道德，开拓进取的创新精神，团队合作和敬业精神。熟练掌握一门外国语，能阅读本专业的外文资料并撰写专业领域外文文章。具有较强的综合能力、语言表达能力及写作能力；具有健康的体魄和良好的心理素质。</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本学科点具有计算机系统结构、计算机软件与理论、计算机应用技术以及信息安全4个二级学科。相应的研究方向如下：</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1、计算机系统结构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计算机系统结构是计算机科学技术最活跃的研究领域之一，特别是最近几年，随着高性能计算机的广泛研究和应用、计算机整体设计关键技术的突破、计算机网络体系结构的迅速发展，计算机系统结构的研究出现了新的热点和重大进展。</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在微处理芯片体系结构方面主要研究新型微处理芯片体系结构及其编程技术，可重构的片上并行体系结构，通用微处理芯片设计技术，指令级并行关键技术和嵌入式系统整体设计方法，多处理器体系结构等；在计算机体系结构方面主要研究新型高效能并行计算机体系结构、模型及其关键技术，包括软件技术、超高扩展高密度计算技术、高可用集群中间件技术、可重构计算等，“并行结构-并行算法-并行编程”研究一体化；在网络及分布式计算方面主要研究新型网络体系结构和协议，网格计算平台及应用，对等网络、无线网络和移动计算等。</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2、计算机软件与理论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计算机软件与理论是指由计算机科学理论和研究、开发计算机软件所涉及的理论、方法、技术所构成的学科，是信息科学的核心研究领域之一，是计算机学科用来为国民经济、国防建设、人民生活服务的工具和基础。本专业从事并行算法、高性能计算及应用、高可信软件、协议理论与工程、无线传感器网络等方向的研究，培养具有坚实理论基础和较强软件设计与开发能力的高级人才。</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具体有以下几个研究方向：计算复杂性理论、并行与分布计算、形式描述方法和验证技术、软件工程学、软件测试技术、编译和操作系统、移动计算和传感网络、并行与分布数据库；</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3、计算机应用技术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计算机应用技术要求培养掌握计算机应用技术领域坚实的理论基础和系统专业知识，了解本专业学科发展和前沿动态，具有坚实宽广的计算机应用技术的理论基础，掌握系统的专业知识，熟练掌握一门外语，能在本学科与相关学科领域独立开展研究工作，作出创造性成果。本专业的主要研究方向有：人工智能、网络与数据通信、信息检索与数据挖掘、个性化推荐系统、数据库技术、智能控制系统、多媒体信息处理、计算机辅助设计与制造、虚拟现实技术、生物信息学、多智能体与服务机器人技术。</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4、信息安全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信息安全专业旨在培养面向世界、面向未来、服务于信息社会，德智体全面发展的，能从事计算机软硬件系统安全、计算机网络安全、其它形式的信息安全基础理论和共性技术的教学、科研、关键技术开发的高层次信息安全专业人才。本专业的主要研究方向为：计算机系统安全、网络安全、信息系统安全、密码理论与应用技术、安全多方计算、信息隐藏、计算机病毒与免疫系统、网络管理与风险评估。</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计算机科学与技术学院的研究生主要专业优势是基础理论知识扎实，数学功底深厚，专业知识面广，适应能力强，后劲足。毕业后的主要去向：1、国内外深造和国内外科研机构任职；2、国外大公司在中国的研发机构；3、国内大型IT企业、研发机构；4、中国科学院在北京、上海有关研究所等。</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三、研究方向及初试科目</w:t>
                  </w:r>
                  <w:r>
                    <w:rPr>
                      <w:rFonts w:hint="eastAsia" w:ascii="宋体" w:hAnsi="宋体" w:eastAsia="宋体" w:cs="宋体"/>
                      <w:i w:val="0"/>
                      <w:color w:val="575757"/>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464"/>
                    <w:gridCol w:w="4692"/>
                  </w:tblGrid>
                  <w:tr>
                    <w:tblPrEx>
                      <w:shd w:val="clear" w:color="auto" w:fill="CCCCCC"/>
                      <w:tblCellMar>
                        <w:top w:w="0" w:type="dxa"/>
                        <w:left w:w="0" w:type="dxa"/>
                        <w:bottom w:w="0" w:type="dxa"/>
                        <w:right w:w="0" w:type="dxa"/>
                      </w:tblCellMar>
                    </w:tblPrEx>
                    <w:trPr>
                      <w:tblCellSpacing w:w="7" w:type="dxa"/>
                    </w:trPr>
                    <w:tc>
                      <w:tcPr>
                        <w:tcW w:w="2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849"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PrEx>
                    <w:trPr>
                      <w:tblCellSpacing w:w="7" w:type="dxa"/>
                    </w:trPr>
                    <w:tc>
                      <w:tcPr>
                        <w:tcW w:w="2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1、计算机系统结构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2、计算机软件与理论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3、计算机应用技术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4、信息安全</w:t>
                        </w:r>
                      </w:p>
                    </w:tc>
                    <w:tc>
                      <w:tcPr>
                        <w:tcW w:w="2849"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olor w:val="575757"/>
                      <w:kern w:val="0"/>
                      <w:sz w:val="18"/>
                      <w:szCs w:val="18"/>
                      <w:u w:val="none"/>
                      <w:bdr w:val="none" w:color="auto" w:sz="0" w:space="0"/>
                      <w:lang w:val="en-US" w:eastAsia="zh-CN" w:bidi="ar"/>
                    </w:rPr>
                    <w:t>四、复试形式</w:t>
                  </w:r>
                  <w:r>
                    <w:rPr>
                      <w:rFonts w:hint="eastAsia" w:ascii="宋体" w:hAnsi="宋体" w:eastAsia="宋体" w:cs="宋体"/>
                      <w:i w:val="0"/>
                      <w:color w:val="575757"/>
                      <w:kern w:val="0"/>
                      <w:sz w:val="18"/>
                      <w:szCs w:val="18"/>
                      <w:u w:val="none"/>
                      <w:bdr w:val="none" w:color="auto" w:sz="0" w:space="0"/>
                      <w:lang w:val="en-US" w:eastAsia="zh-CN" w:bidi="ar"/>
                    </w:rPr>
                    <w:t>：面试+上机。</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五、复试内容</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1、面试</w:t>
                  </w:r>
                  <w:r>
                    <w:rPr>
                      <w:rFonts w:hint="eastAsia" w:ascii="宋体" w:hAnsi="宋体" w:eastAsia="宋体" w:cs="宋体"/>
                      <w:i w:val="0"/>
                      <w:color w:val="575757"/>
                      <w:kern w:val="0"/>
                      <w:sz w:val="18"/>
                      <w:szCs w:val="18"/>
                      <w:u w:val="none"/>
                      <w:bdr w:val="none" w:color="auto" w:sz="0" w:space="0"/>
                      <w:lang w:val="en-US" w:eastAsia="zh-CN" w:bidi="ar"/>
                    </w:rPr>
                    <w:t>（满分80分）</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内容包括：英语、专业综合基础知识。（口试）</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2、上机</w:t>
                  </w:r>
                  <w:r>
                    <w:rPr>
                      <w:rFonts w:hint="eastAsia" w:ascii="宋体" w:hAnsi="宋体" w:eastAsia="宋体" w:cs="宋体"/>
                      <w:i w:val="0"/>
                      <w:color w:val="575757"/>
                      <w:kern w:val="0"/>
                      <w:sz w:val="18"/>
                      <w:szCs w:val="18"/>
                      <w:u w:val="none"/>
                      <w:bdr w:val="none" w:color="auto" w:sz="0" w:space="0"/>
                      <w:lang w:val="en-US" w:eastAsia="zh-CN" w:bidi="ar"/>
                    </w:rPr>
                    <w:t>（满分120分）</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上机环境为C/C++语言（CodeBlocks，Dev C++，MS VisualStudio 2015）</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六、复试成绩</w:t>
                  </w:r>
                  <w:r>
                    <w:rPr>
                      <w:rFonts w:hint="eastAsia" w:ascii="宋体" w:hAnsi="宋体" w:eastAsia="宋体" w:cs="宋体"/>
                      <w:i w:val="0"/>
                      <w:color w:val="575757"/>
                      <w:kern w:val="0"/>
                      <w:sz w:val="18"/>
                      <w:szCs w:val="18"/>
                      <w:u w:val="none"/>
                      <w:bdr w:val="none" w:color="auto" w:sz="0" w:space="0"/>
                      <w:lang w:val="en-US" w:eastAsia="zh-CN" w:bidi="ar"/>
                    </w:rPr>
                    <w:t>：满分100分。面试满分80分、上机满分120分，复试成绩=（面试成绩+上机成绩）÷2。</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七、最终成绩</w:t>
                  </w:r>
                  <w:r>
                    <w:rPr>
                      <w:rFonts w:hint="eastAsia" w:ascii="宋体" w:hAnsi="宋体" w:eastAsia="宋体" w:cs="宋体"/>
                      <w:i w:val="0"/>
                      <w:color w:val="575757"/>
                      <w:kern w:val="0"/>
                      <w:sz w:val="18"/>
                      <w:szCs w:val="18"/>
                      <w:u w:val="none"/>
                      <w:bdr w:val="none" w:color="auto" w:sz="0" w:space="0"/>
                      <w:lang w:val="en-US" w:eastAsia="zh-CN" w:bidi="ar"/>
                    </w:rPr>
                    <w:t>：满分100分。初试成绩不计政治，复试成绩占比1/3，即最终成绩=（初试成绩【不计政治】÷2+复试成绩）÷3。</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八、录取</w:t>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九、调剂</w:t>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十、学费标准</w:t>
                  </w:r>
                  <w:r>
                    <w:rPr>
                      <w:rFonts w:hint="eastAsia" w:ascii="宋体" w:hAnsi="宋体" w:eastAsia="宋体" w:cs="宋体"/>
                      <w:i w:val="0"/>
                      <w:color w:val="575757"/>
                      <w:kern w:val="0"/>
                      <w:sz w:val="18"/>
                      <w:szCs w:val="18"/>
                      <w:u w:val="none"/>
                      <w:bdr w:val="none" w:color="auto" w:sz="0" w:space="0"/>
                      <w:lang w:val="en-US" w:eastAsia="zh-CN" w:bidi="ar"/>
                    </w:rPr>
                    <w:t>：8000元/学年。</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十一、咨询电话</w:t>
                  </w:r>
                  <w:r>
                    <w:rPr>
                      <w:rFonts w:hint="eastAsia" w:ascii="宋体" w:hAnsi="宋体" w:eastAsia="宋体" w:cs="宋体"/>
                      <w:i w:val="0"/>
                      <w:color w:val="575757"/>
                      <w:kern w:val="0"/>
                      <w:sz w:val="18"/>
                      <w:szCs w:val="18"/>
                      <w:u w:val="none"/>
                      <w:bdr w:val="none" w:color="auto" w:sz="0" w:space="0"/>
                      <w:lang w:val="en-US" w:eastAsia="zh-CN" w:bidi="ar"/>
                    </w:rPr>
                    <w:t>：0551- 63600853张老师或63601552李老师</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学技术大学计算机科学与技术学院是中国科学院所属的一所以前沿科学和高新技术为主、兼有以科技为背景的管理和人文学科的综合性全国重点大学。为适应国家经济建设和社会发展对高层次专门人才的需求，中国科学技术大学每年有计划地招收工程硕士生，为工矿企业和工程建设部门，特别是国有大中型企业以及科研院所和国防单位培养和输送应用型、复合型的高层次工程技术和工程管理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计算机技术设有如下研究方向：大数据技术及应用，计算机与网络安全技术，管理信息系统，嵌入式系统设计，软件系统分析与设计，软件项目管理，软件测试与质量保证。</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计算机技术专业的硕士生毕业后的主要去向：1、科研院所；2、跨国IT企业；3、本土IT企业；4、国家公务员；5、金融、证券、店里通信行业大型国企。</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979"/>
              <w:gridCol w:w="5971"/>
            </w:tblGrid>
            <w:tr>
              <w:tblPrEx>
                <w:shd w:val="clear" w:color="auto" w:fill="CCCCCC"/>
              </w:tblPrEx>
              <w:trPr>
                <w:tblCellSpacing w:w="7" w:type="dxa"/>
              </w:trPr>
              <w:tc>
                <w:tcPr>
                  <w:tcW w:w="22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7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2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1、(全日制)计算机技术</w:t>
                  </w:r>
                </w:p>
              </w:tc>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：面试+上机。</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1、面试</w:t>
            </w:r>
            <w:r>
              <w:rPr>
                <w:rFonts w:hint="eastAsia" w:ascii="宋体" w:hAnsi="宋体" w:eastAsia="宋体" w:cs="宋体"/>
                <w:i w:val="0"/>
                <w:caps w:val="0"/>
                <w:color w:val="575757"/>
                <w:spacing w:val="0"/>
                <w:kern w:val="0"/>
                <w:sz w:val="18"/>
                <w:szCs w:val="18"/>
                <w:u w:val="none"/>
                <w:bdr w:val="none" w:color="auto" w:sz="0" w:space="0"/>
                <w:lang w:val="en-US" w:eastAsia="zh-CN" w:bidi="ar"/>
              </w:rPr>
              <w:t>（满分80分）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内容包括：英语、专业综合基础知识。（口试）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2、上机</w:t>
            </w:r>
            <w:r>
              <w:rPr>
                <w:rFonts w:hint="eastAsia" w:ascii="宋体" w:hAnsi="宋体" w:eastAsia="宋体" w:cs="宋体"/>
                <w:i w:val="0"/>
                <w:caps w:val="0"/>
                <w:color w:val="575757"/>
                <w:spacing w:val="0"/>
                <w:kern w:val="0"/>
                <w:sz w:val="18"/>
                <w:szCs w:val="18"/>
                <w:u w:val="none"/>
                <w:bdr w:val="none" w:color="auto" w:sz="0" w:space="0"/>
                <w:lang w:val="en-US" w:eastAsia="zh-CN" w:bidi="ar"/>
              </w:rPr>
              <w:t>（满分120分）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上机环境为C/C++语言（CodeBlocks，Dev C++，MS VisualStudio 2015）</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：满分100分。面试满分80分、上机满分120分，复试成绩=（面试成绩+上机成绩）÷2。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：满分100分。初试成绩不计政治，复试成绩占比1/3，即最终成绩=（初试成绩【不计政治】÷2+复试成绩）÷3。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十一、咨询电话</w:t>
            </w:r>
            <w:r>
              <w:rPr>
                <w:rFonts w:hint="eastAsia" w:ascii="宋体" w:hAnsi="宋体" w:eastAsia="宋体" w:cs="宋体"/>
                <w:i w:val="0"/>
                <w:caps w:val="0"/>
                <w:color w:val="575757"/>
                <w:spacing w:val="0"/>
                <w:kern w:val="0"/>
                <w:sz w:val="18"/>
                <w:szCs w:val="18"/>
                <w:u w:val="none"/>
                <w:bdr w:val="none" w:color="auto" w:sz="0" w:space="0"/>
                <w:lang w:val="en-US" w:eastAsia="zh-CN" w:bidi="ar"/>
              </w:rPr>
              <w:t>：0551- 63600853张老师或63601552李老师</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学科专业名称：电子信息（非全日制）</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一、学习方式</w:t>
            </w:r>
            <w:r>
              <w:rPr>
                <w:rFonts w:hint="eastAsia" w:ascii="宋体" w:hAnsi="宋体" w:eastAsia="宋体" w:cs="宋体"/>
                <w:i w:val="0"/>
                <w:caps w:val="0"/>
                <w:color w:val="575757"/>
                <w:spacing w:val="0"/>
                <w:kern w:val="0"/>
                <w:sz w:val="18"/>
                <w:szCs w:val="18"/>
                <w:u w:val="none"/>
                <w:bdr w:val="none" w:color="auto" w:sz="0" w:space="0"/>
                <w:lang w:val="en-US" w:eastAsia="zh-CN" w:bidi="ar"/>
              </w:rPr>
              <w:t>：非全日制</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二、修业年限</w:t>
            </w:r>
            <w:r>
              <w:rPr>
                <w:rFonts w:hint="eastAsia" w:ascii="宋体" w:hAnsi="宋体" w:eastAsia="宋体" w:cs="宋体"/>
                <w:i w:val="0"/>
                <w:caps w:val="0"/>
                <w:color w:val="575757"/>
                <w:spacing w:val="0"/>
                <w:kern w:val="0"/>
                <w:sz w:val="18"/>
                <w:szCs w:val="18"/>
                <w:u w:val="none"/>
                <w:bdr w:val="none" w:color="auto" w:sz="0" w:space="0"/>
                <w:lang w:val="en-US" w:eastAsia="zh-CN" w:bidi="ar"/>
              </w:rPr>
              <w:t>：3~5年</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三、办学地点</w:t>
            </w:r>
            <w:r>
              <w:rPr>
                <w:rFonts w:hint="eastAsia" w:ascii="宋体" w:hAnsi="宋体" w:eastAsia="宋体" w:cs="宋体"/>
                <w:i w:val="0"/>
                <w:caps w:val="0"/>
                <w:color w:val="575757"/>
                <w:spacing w:val="0"/>
                <w:kern w:val="0"/>
                <w:sz w:val="18"/>
                <w:szCs w:val="18"/>
                <w:u w:val="none"/>
                <w:bdr w:val="none" w:color="auto" w:sz="0" w:space="0"/>
                <w:lang w:val="en-US" w:eastAsia="zh-CN" w:bidi="ar"/>
              </w:rPr>
              <w:t>：合肥等地</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：共计3.6万。</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869"/>
              <w:gridCol w:w="6081"/>
            </w:tblGrid>
            <w:tr>
              <w:trPr>
                <w:tblCellSpacing w:w="7" w:type="dxa"/>
              </w:trPr>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2、(非全日制)软件工程</w:t>
                  </w:r>
                </w:p>
              </w:tc>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t>（总分100分），内容包括：英语、专业综合基础知识。（口试）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：满分100分。初试成绩不计政治，复试成绩占比1/3，即最终成绩=（初试成绩【不计政治】÷2+复试成绩）÷3。</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十、咨询电话</w:t>
            </w:r>
            <w:r>
              <w:rPr>
                <w:rFonts w:hint="eastAsia" w:ascii="宋体" w:hAnsi="宋体" w:eastAsia="宋体" w:cs="宋体"/>
                <w:i w:val="0"/>
                <w:caps w:val="0"/>
                <w:color w:val="575757"/>
                <w:spacing w:val="0"/>
                <w:kern w:val="0"/>
                <w:sz w:val="18"/>
                <w:szCs w:val="18"/>
                <w:u w:val="none"/>
                <w:bdr w:val="none" w:color="auto" w:sz="0" w:space="0"/>
                <w:lang w:val="en-US" w:eastAsia="zh-CN" w:bidi="ar"/>
              </w:rPr>
              <w:t>：0551-63601552李老师或63600853张老师</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B1727"/>
    <w:rsid w:val="32DB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2019-12-03T09:30:00Z</dcterms:created>
  <dc:creator>Administrator</dc:creator>
  <cp:lastModifiedBy>Administrator</cp:lastModifiedBy>
  <dcterms:modified xsi:type="dcterms:W3CDTF">2019-12-03T09:31:21Z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