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52"/>
          <w:szCs w:val="52"/>
        </w:rPr>
      </w:pPr>
      <w:bookmarkStart w:id="0" w:name="_GoBack"/>
      <w:r>
        <w:rPr>
          <w:rFonts w:hint="eastAsia"/>
          <w:sz w:val="52"/>
          <w:szCs w:val="52"/>
        </w:rPr>
        <w:t>国家同步辐射实验室</w:t>
      </w:r>
    </w:p>
    <w:bookmarkEnd w:id="0"/>
    <w:tbl>
      <w:tblPr>
        <w:tblW w:w="11100" w:type="dxa"/>
        <w:tblCellSpacing w:w="0" w:type="dxa"/>
        <w:tblInd w:w="0" w:type="dxa"/>
        <w:shd w:val="clear" w:color="auto" w:fill="FFFFFF"/>
        <w:tblLayout w:type="autofit"/>
        <w:tblCellMar>
          <w:top w:w="0" w:type="dxa"/>
          <w:left w:w="0" w:type="dxa"/>
          <w:bottom w:w="0" w:type="dxa"/>
          <w:right w:w="0" w:type="dxa"/>
        </w:tblCellMar>
      </w:tblPr>
      <w:tblGrid>
        <w:gridCol w:w="11100"/>
      </w:tblGrid>
      <w:tr>
        <w:tblPrEx>
          <w:shd w:val="clear" w:color="auto" w:fill="FFFFFF"/>
        </w:tblPrEx>
        <w:trPr>
          <w:trHeight w:val="375" w:hRule="atLeast"/>
          <w:tblCellSpacing w:w="0" w:type="dxa"/>
        </w:trPr>
        <w:tc>
          <w:tcPr>
            <w:tcW w:w="0" w:type="auto"/>
            <w:shd w:val="clear" w:color="auto" w:fill="EFEFEF"/>
            <w:tcMar>
              <w:left w:w="150" w:type="dxa"/>
            </w:tcMar>
            <w:vAlign w:val="center"/>
          </w:tcPr>
          <w:p>
            <w:pPr>
              <w:keepNext w:val="0"/>
              <w:keepLines w:val="0"/>
              <w:widowControl/>
              <w:suppressLineNumbers w:val="0"/>
              <w:shd w:val="clear" w:fill="EFEFEF"/>
              <w:spacing w:line="330" w:lineRule="atLeast"/>
              <w:ind w:left="0" w:firstLine="0"/>
              <w:jc w:val="left"/>
              <w:rPr>
                <w:rFonts w:hint="eastAsia" w:ascii="宋体" w:hAnsi="宋体" w:eastAsia="宋体" w:cs="宋体"/>
                <w:b/>
                <w:i w:val="0"/>
                <w:caps w:val="0"/>
                <w:color w:val="666666"/>
                <w:spacing w:val="0"/>
                <w:sz w:val="18"/>
                <w:szCs w:val="18"/>
                <w:u w:val="none"/>
              </w:rPr>
            </w:pPr>
            <w:r>
              <w:rPr>
                <w:rFonts w:hint="eastAsia" w:ascii="宋体" w:hAnsi="宋体" w:eastAsia="宋体" w:cs="宋体"/>
                <w:b/>
                <w:i w:val="0"/>
                <w:caps w:val="0"/>
                <w:color w:val="666666"/>
                <w:spacing w:val="0"/>
                <w:kern w:val="0"/>
                <w:sz w:val="18"/>
                <w:szCs w:val="18"/>
                <w:u w:val="none"/>
                <w:bdr w:val="none" w:color="auto" w:sz="0" w:space="0"/>
                <w:lang w:val="en-US" w:eastAsia="zh-CN" w:bidi="ar"/>
              </w:rPr>
              <w:t>国家同步辐射实验室包含以下专业：</w:t>
            </w:r>
          </w:p>
        </w:tc>
      </w:tr>
      <w:tr>
        <w:tblPrEx>
          <w:tblCellMar>
            <w:top w:w="0" w:type="dxa"/>
            <w:left w:w="0" w:type="dxa"/>
            <w:bottom w:w="0" w:type="dxa"/>
            <w:right w:w="0" w:type="dxa"/>
          </w:tblCellMar>
        </w:tblPrEx>
        <w:trPr>
          <w:tblCellSpacing w:w="0" w:type="dxa"/>
        </w:trPr>
        <w:tc>
          <w:tcPr>
            <w:tcW w:w="0" w:type="auto"/>
            <w:shd w:val="clear" w:color="auto" w:fill="FFFFFF"/>
            <w:vAlign w:val="center"/>
          </w:tcPr>
          <w:p>
            <w:pPr>
              <w:rPr>
                <w:rFonts w:hint="eastAsia" w:ascii="微软雅黑" w:hAnsi="微软雅黑" w:eastAsia="微软雅黑" w:cs="微软雅黑"/>
                <w:i w:val="0"/>
                <w:caps w:val="0"/>
                <w:color w:val="000000"/>
                <w:spacing w:val="0"/>
                <w:sz w:val="27"/>
                <w:szCs w:val="27"/>
              </w:rPr>
            </w:pPr>
          </w:p>
        </w:tc>
      </w:tr>
    </w:tbl>
    <w:p>
      <w:pPr>
        <w:keepNext w:val="0"/>
        <w:keepLines w:val="0"/>
        <w:widowControl/>
        <w:suppressLineNumbers w:val="0"/>
        <w:jc w:val="left"/>
      </w:pPr>
    </w:p>
    <w:tbl>
      <w:tblPr>
        <w:tblW w:w="11100" w:type="dxa"/>
        <w:tblCellSpacing w:w="0" w:type="dxa"/>
        <w:tblInd w:w="0" w:type="dxa"/>
        <w:shd w:val="clear" w:color="auto" w:fill="FFFFFF"/>
        <w:tblLayout w:type="autofit"/>
        <w:tblCellMar>
          <w:top w:w="0" w:type="dxa"/>
          <w:left w:w="0" w:type="dxa"/>
          <w:bottom w:w="0" w:type="dxa"/>
          <w:right w:w="0" w:type="dxa"/>
        </w:tblCellMar>
      </w:tblPr>
      <w:tblGrid>
        <w:gridCol w:w="11100"/>
      </w:tblGrid>
      <w:tr>
        <w:tblPrEx>
          <w:shd w:val="clear" w:color="auto" w:fill="FFFFFF"/>
          <w:tblCellMar>
            <w:top w:w="0" w:type="dxa"/>
            <w:left w:w="0" w:type="dxa"/>
            <w:bottom w:w="0" w:type="dxa"/>
            <w:right w:w="0" w:type="dxa"/>
          </w:tblCellMar>
        </w:tblPrEx>
        <w:trPr>
          <w:tblCellSpacing w:w="0" w:type="dxa"/>
        </w:trPr>
        <w:tc>
          <w:tcPr>
            <w:tcW w:w="0" w:type="auto"/>
            <w:shd w:val="clear" w:color="auto" w:fill="FFFFFF"/>
            <w:vAlign w:val="center"/>
          </w:tcPr>
          <w:tbl>
            <w:tblPr>
              <w:tblW w:w="11100" w:type="dxa"/>
              <w:jc w:val="center"/>
              <w:tblCellSpacing w:w="15" w:type="dxa"/>
              <w:shd w:val="clear"/>
              <w:tblLayout w:type="autofit"/>
              <w:tblCellMar>
                <w:top w:w="0" w:type="dxa"/>
                <w:left w:w="0" w:type="dxa"/>
                <w:bottom w:w="0" w:type="dxa"/>
                <w:right w:w="0" w:type="dxa"/>
              </w:tblCellMar>
            </w:tblPr>
            <w:tblGrid>
              <w:gridCol w:w="3227"/>
              <w:gridCol w:w="1013"/>
              <w:gridCol w:w="1434"/>
              <w:gridCol w:w="2526"/>
              <w:gridCol w:w="2900"/>
            </w:tblGrid>
            <w:tr>
              <w:tblPrEx>
                <w:shd w:val="clear"/>
                <w:tblCellMar>
                  <w:top w:w="0" w:type="dxa"/>
                  <w:left w:w="0" w:type="dxa"/>
                  <w:bottom w:w="0" w:type="dxa"/>
                  <w:right w:w="0" w:type="dxa"/>
                </w:tblCellMar>
              </w:tblPrEx>
              <w:trPr>
                <w:trHeight w:val="450" w:hRule="atLeast"/>
                <w:tblCellSpacing w:w="15" w:type="dxa"/>
                <w:jc w:val="center"/>
              </w:trPr>
              <w:tc>
                <w:tcPr>
                  <w:tcW w:w="0" w:type="auto"/>
                  <w:gridSpan w:val="5"/>
                  <w:shd w:val="clear" w:color="auto" w:fill="DEF1FB"/>
                  <w:tcMar>
                    <w:left w:w="150" w:type="dxa"/>
                  </w:tcMar>
                  <w:vAlign w:val="center"/>
                </w:tcPr>
                <w:p>
                  <w:pPr>
                    <w:keepNext w:val="0"/>
                    <w:keepLines w:val="0"/>
                    <w:widowControl/>
                    <w:suppressLineNumbers w:val="0"/>
                    <w:shd w:val="clear" w:fill="DEF1FB"/>
                    <w:spacing w:line="330" w:lineRule="atLeast"/>
                    <w:jc w:val="left"/>
                    <w:rPr>
                      <w:rFonts w:hint="eastAsia" w:ascii="宋体" w:hAnsi="宋体" w:eastAsia="宋体" w:cs="宋体"/>
                      <w:b/>
                      <w:i w:val="0"/>
                      <w:color w:val="666666"/>
                      <w:sz w:val="18"/>
                      <w:szCs w:val="18"/>
                      <w:u w:val="none"/>
                    </w:rPr>
                  </w:pPr>
                  <w:r>
                    <w:rPr>
                      <w:rFonts w:hint="eastAsia" w:ascii="宋体" w:hAnsi="宋体" w:eastAsia="宋体" w:cs="宋体"/>
                      <w:b/>
                      <w:i w:val="0"/>
                      <w:color w:val="666666"/>
                      <w:kern w:val="0"/>
                      <w:sz w:val="18"/>
                      <w:szCs w:val="18"/>
                      <w:u w:val="none"/>
                      <w:bdr w:val="none" w:color="auto" w:sz="0" w:space="0"/>
                      <w:lang w:val="en-US" w:eastAsia="zh-CN" w:bidi="ar"/>
                    </w:rPr>
                    <w:t>学科专业名称：</w:t>
                  </w:r>
                  <w:r>
                    <w:rPr>
                      <w:rStyle w:val="4"/>
                      <w:rFonts w:hint="eastAsia" w:ascii="宋体" w:hAnsi="宋体" w:eastAsia="宋体" w:cs="宋体"/>
                      <w:i w:val="0"/>
                      <w:color w:val="666666"/>
                      <w:kern w:val="0"/>
                      <w:sz w:val="18"/>
                      <w:szCs w:val="18"/>
                      <w:u w:val="none"/>
                      <w:bdr w:val="none" w:color="auto" w:sz="0" w:space="0"/>
                      <w:lang w:val="en-US" w:eastAsia="zh-CN" w:bidi="ar"/>
                    </w:rPr>
                    <w:t>核科学与技术</w:t>
                  </w:r>
                  <w:r>
                    <w:rPr>
                      <w:rFonts w:hint="eastAsia" w:ascii="宋体" w:hAnsi="宋体" w:eastAsia="宋体" w:cs="宋体"/>
                      <w:i w:val="0"/>
                      <w:color w:val="003399"/>
                      <w:kern w:val="0"/>
                      <w:sz w:val="18"/>
                      <w:szCs w:val="18"/>
                      <w:u w:val="none"/>
                      <w:bdr w:val="none" w:color="auto" w:sz="0" w:space="0"/>
                      <w:lang w:val="en-US" w:eastAsia="zh-CN" w:bidi="ar"/>
                    </w:rPr>
                    <w:t>（专业代码</w:t>
                  </w:r>
                  <w:r>
                    <w:rPr>
                      <w:rStyle w:val="4"/>
                      <w:rFonts w:hint="eastAsia" w:ascii="宋体" w:hAnsi="宋体" w:eastAsia="宋体" w:cs="宋体"/>
                      <w:i w:val="0"/>
                      <w:color w:val="003399"/>
                      <w:kern w:val="0"/>
                      <w:sz w:val="18"/>
                      <w:szCs w:val="18"/>
                      <w:u w:val="none"/>
                      <w:bdr w:val="none" w:color="auto" w:sz="0" w:space="0"/>
                      <w:lang w:val="en-US" w:eastAsia="zh-CN" w:bidi="ar"/>
                    </w:rPr>
                    <w:t>082700）</w:t>
                  </w:r>
                </w:p>
              </w:tc>
            </w:tr>
            <w:tr>
              <w:tblPrEx>
                <w:tblCellMar>
                  <w:top w:w="0" w:type="dxa"/>
                  <w:left w:w="0" w:type="dxa"/>
                  <w:bottom w:w="0" w:type="dxa"/>
                  <w:right w:w="0" w:type="dxa"/>
                </w:tblCellMar>
              </w:tblPrEx>
              <w:trPr>
                <w:trHeight w:val="30" w:hRule="atLeast"/>
                <w:tblCellSpacing w:w="15" w:type="dxa"/>
                <w:jc w:val="center"/>
              </w:trPr>
              <w:tc>
                <w:tcPr>
                  <w:tcW w:w="3060" w:type="dxa"/>
                  <w:shd w:val="clear"/>
                  <w:vAlign w:val="center"/>
                </w:tcPr>
                <w:p>
                  <w:pPr>
                    <w:rPr>
                      <w:rFonts w:hint="eastAsia" w:ascii="宋体"/>
                      <w:sz w:val="24"/>
                      <w:szCs w:val="24"/>
                    </w:rPr>
                  </w:pPr>
                </w:p>
              </w:tc>
              <w:tc>
                <w:tcPr>
                  <w:tcW w:w="945" w:type="dxa"/>
                  <w:shd w:val="clear"/>
                  <w:vAlign w:val="center"/>
                </w:tcPr>
                <w:p>
                  <w:pPr>
                    <w:rPr>
                      <w:rFonts w:hint="eastAsia" w:ascii="宋体"/>
                      <w:sz w:val="24"/>
                      <w:szCs w:val="24"/>
                    </w:rPr>
                  </w:pPr>
                </w:p>
              </w:tc>
              <w:tc>
                <w:tcPr>
                  <w:tcW w:w="1350" w:type="dxa"/>
                  <w:shd w:val="clear"/>
                  <w:vAlign w:val="center"/>
                </w:tcPr>
                <w:p>
                  <w:pPr>
                    <w:rPr>
                      <w:rFonts w:hint="eastAsia" w:ascii="宋体"/>
                      <w:sz w:val="24"/>
                      <w:szCs w:val="24"/>
                    </w:rPr>
                  </w:pPr>
                </w:p>
              </w:tc>
              <w:tc>
                <w:tcPr>
                  <w:tcW w:w="2400" w:type="dxa"/>
                  <w:shd w:val="clear"/>
                  <w:vAlign w:val="center"/>
                </w:tcPr>
                <w:p>
                  <w:pPr>
                    <w:rPr>
                      <w:rFonts w:hint="eastAsia" w:ascii="宋体"/>
                      <w:sz w:val="24"/>
                      <w:szCs w:val="24"/>
                    </w:rPr>
                  </w:pPr>
                </w:p>
              </w:tc>
              <w:tc>
                <w:tcPr>
                  <w:tcW w:w="2745" w:type="dxa"/>
                  <w:shd w:val="clear"/>
                  <w:vAlign w:val="center"/>
                </w:tcPr>
                <w:p>
                  <w:pPr>
                    <w:rPr>
                      <w:rFonts w:hint="eastAsia" w:ascii="宋体"/>
                      <w:sz w:val="24"/>
                      <w:szCs w:val="24"/>
                    </w:rPr>
                  </w:pPr>
                </w:p>
              </w:tc>
            </w:tr>
          </w:tbl>
          <w:p>
            <w:pPr>
              <w:rPr>
                <w:rFonts w:ascii="微软雅黑" w:hAnsi="微软雅黑" w:eastAsia="微软雅黑" w:cs="微软雅黑"/>
                <w:i w:val="0"/>
                <w:caps w:val="0"/>
                <w:color w:val="000000"/>
                <w:spacing w:val="0"/>
                <w:sz w:val="27"/>
                <w:szCs w:val="27"/>
              </w:rPr>
            </w:pPr>
          </w:p>
        </w:tc>
      </w:tr>
      <w:tr>
        <w:tblPrEx>
          <w:shd w:val="clear" w:color="auto" w:fill="FFFFFF"/>
          <w:tblCellMar>
            <w:top w:w="0" w:type="dxa"/>
            <w:left w:w="0" w:type="dxa"/>
            <w:bottom w:w="0" w:type="dxa"/>
            <w:right w:w="0" w:type="dxa"/>
          </w:tblCellMar>
        </w:tblPrEx>
        <w:trPr>
          <w:tblCellSpacing w:w="0" w:type="dxa"/>
        </w:trPr>
        <w:tc>
          <w:tcPr>
            <w:tcW w:w="0" w:type="auto"/>
            <w:shd w:val="clear" w:color="auto" w:fill="FFFFFF"/>
            <w:tcMar>
              <w:top w:w="225" w:type="dxa"/>
              <w:left w:w="75" w:type="dxa"/>
              <w:bottom w:w="225" w:type="dxa"/>
              <w:right w:w="75" w:type="dxa"/>
            </w:tcMar>
            <w:vAlign w:val="center"/>
          </w:tcPr>
          <w:p>
            <w:pPr>
              <w:keepNext w:val="0"/>
              <w:keepLines w:val="0"/>
              <w:widowControl/>
              <w:suppressLineNumbers w:val="0"/>
              <w:spacing w:line="330" w:lineRule="atLeast"/>
              <w:ind w:left="0" w:firstLine="0"/>
              <w:jc w:val="left"/>
              <w:rPr>
                <w:rFonts w:hint="eastAsia" w:ascii="宋体" w:hAnsi="宋体" w:eastAsia="宋体" w:cs="宋体"/>
                <w:i w:val="0"/>
                <w:caps w:val="0"/>
                <w:color w:val="575757"/>
                <w:spacing w:val="0"/>
                <w:sz w:val="18"/>
                <w:szCs w:val="18"/>
                <w:u w:val="none"/>
              </w:rPr>
            </w:pP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一、报考说明</w:t>
            </w:r>
            <w:r>
              <w:rPr>
                <w:rFonts w:hint="eastAsia" w:ascii="宋体" w:hAnsi="宋体" w:eastAsia="宋体" w:cs="宋体"/>
                <w:i w:val="0"/>
                <w:caps w:val="0"/>
                <w:color w:val="575757"/>
                <w:spacing w:val="0"/>
                <w:kern w:val="0"/>
                <w:sz w:val="18"/>
                <w:szCs w:val="18"/>
                <w:u w:val="none"/>
                <w:bdr w:val="none" w:color="auto" w:sz="0" w:space="0"/>
                <w:lang w:val="en-US" w:eastAsia="zh-CN" w:bidi="ar"/>
              </w:rPr>
              <w:t>：</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接收推免生及统考生。</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二、专业介绍</w:t>
            </w:r>
            <w:r>
              <w:rPr>
                <w:rFonts w:hint="eastAsia" w:ascii="宋体" w:hAnsi="宋体" w:eastAsia="宋体" w:cs="宋体"/>
                <w:i w:val="0"/>
                <w:caps w:val="0"/>
                <w:color w:val="575757"/>
                <w:spacing w:val="0"/>
                <w:kern w:val="0"/>
                <w:sz w:val="18"/>
                <w:szCs w:val="18"/>
                <w:u w:val="none"/>
                <w:bdr w:val="none" w:color="auto" w:sz="0" w:space="0"/>
                <w:lang w:val="en-US" w:eastAsia="zh-CN" w:bidi="ar"/>
              </w:rPr>
              <w:t>：</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国家同步辐射实验室是中国科学院博士生重点培养基地，教育部同步辐射博士生创新中心，其拥有的“核科学与技术”学科是国家一级重点学科，具有“核科学与技术”工学硕士与博士学位一级学科学位授予权。学科专业主要涵盖“核技术及应用”、“同步辐射及应用”和“辐射防护与环境保护”，研究方向分别如下：</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1）“核技术及应用”专业：主要包含有粒子加速器物理技术与工程、同步辐射光源物理与技术、先进光源物理与技术、驱动束加速器物理与技术、短波光物理与技术、核电子学与束测技术、自动控制技术、脉冲功率与高能量密度技术、电磁场与射频技术、高功率电源技术、辐射技术及应用、真空物理与技术、精密工程测量技术等，涉及物理、电子工程与计算机科学技术等领域。</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2）“同步辐射及应用”专业：同步辐射光源由于具有亮度高、频谱宽、准直性好、偏振度高以及脉冲时间结构等优异特性，在生命科学、材料科学、信息科学、新能源与环境科学、原子分子物理、化学、地学、医学、药学、计量学、纳米/微米加工和微机械等许多学科领域都具有广泛的应用。同步辐射及应用已形成为一门综合性和交叉性很强的学科，它依托于国家同步辐射实验室拥有的我国第一台专用同步辐射光源，其已成为前沿交叉研究领域取得重大突破的不可或缺的重要支撑，是国家经济发展、国家安全和社会进步的重要科技基础设施。</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3）“辐射防护与环境保护科学”专业：主要依托合肥同步辐射光源，开展辐射防护与环保方向的科学研究与研究生教育。</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本专业研究生毕业去向：本学科培养的研究生有较深的理论基础，较宽的知识结构，较强的独立研究和设计能力，掌握现代实验技术，“理实交融”，就业范围较宽。</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研究生毕业后，留在国内仍然从事本学科专业工作的，一般进入涉及“核科学与技术”学科的中国科学院相关研究所、中国工程物理研究院、中国原子能科学研究院、国有核工业企业集团、高等院校、国家与省级核安全管理部门，以及其他民营企业集团就业。出国的一般进入发达国家的大学和研究机构，继续深造或就业。</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三、研究方向及初试科目</w:t>
            </w:r>
            <w:r>
              <w:rPr>
                <w:rFonts w:hint="eastAsia" w:ascii="宋体" w:hAnsi="宋体" w:eastAsia="宋体" w:cs="宋体"/>
                <w:i w:val="0"/>
                <w:caps w:val="0"/>
                <w:color w:val="575757"/>
                <w:spacing w:val="0"/>
                <w:kern w:val="0"/>
                <w:sz w:val="18"/>
                <w:szCs w:val="18"/>
                <w:u w:val="none"/>
                <w:bdr w:val="none" w:color="auto" w:sz="0" w:space="0"/>
                <w:lang w:val="en-US" w:eastAsia="zh-CN" w:bidi="ar"/>
              </w:rPr>
              <w:t>：</w:t>
            </w:r>
          </w:p>
          <w:tbl>
            <w:tblPr>
              <w:tblW w:w="5000" w:type="pct"/>
              <w:tblCellSpacing w:w="7" w:type="dxa"/>
              <w:tblInd w:w="0" w:type="dxa"/>
              <w:shd w:val="clear" w:color="auto" w:fill="CCCCCC"/>
              <w:tblLayout w:type="autofit"/>
              <w:tblCellMar>
                <w:top w:w="0" w:type="dxa"/>
                <w:left w:w="0" w:type="dxa"/>
                <w:bottom w:w="0" w:type="dxa"/>
                <w:right w:w="0" w:type="dxa"/>
              </w:tblCellMar>
            </w:tblPr>
            <w:tblGrid>
              <w:gridCol w:w="1453"/>
              <w:gridCol w:w="9497"/>
            </w:tblGrid>
            <w:tr>
              <w:tblPrEx>
                <w:shd w:val="clear" w:color="auto" w:fill="CCCCCC"/>
              </w:tblPrEx>
              <w:trPr>
                <w:tblCellSpacing w:w="7" w:type="dxa"/>
              </w:trPr>
              <w:tc>
                <w:tcPr>
                  <w:tcW w:w="650" w:type="pct"/>
                  <w:shd w:val="clear" w:color="auto" w:fill="193F8A"/>
                  <w:tcMar>
                    <w:top w:w="45" w:type="dxa"/>
                    <w:left w:w="150" w:type="dxa"/>
                    <w:bottom w:w="45" w:type="dxa"/>
                  </w:tcMar>
                  <w:vAlign w:val="top"/>
                </w:tcPr>
                <w:p>
                  <w:pPr>
                    <w:keepNext w:val="0"/>
                    <w:keepLines w:val="0"/>
                    <w:widowControl/>
                    <w:suppressLineNumbers w:val="0"/>
                    <w:shd w:val="clear" w:fill="193F8A"/>
                    <w:spacing w:line="330" w:lineRule="atLeast"/>
                    <w:jc w:val="left"/>
                    <w:rPr>
                      <w:rFonts w:hint="eastAsia" w:ascii="宋体" w:hAnsi="宋体" w:eastAsia="宋体" w:cs="宋体"/>
                      <w:b/>
                      <w:i w:val="0"/>
                      <w:color w:val="FFFFFF"/>
                      <w:sz w:val="18"/>
                      <w:szCs w:val="18"/>
                      <w:u w:val="none"/>
                    </w:rPr>
                  </w:pPr>
                  <w:r>
                    <w:rPr>
                      <w:rStyle w:val="4"/>
                      <w:rFonts w:hint="eastAsia" w:ascii="宋体" w:hAnsi="宋体" w:eastAsia="宋体" w:cs="宋体"/>
                      <w:i w:val="0"/>
                      <w:color w:val="FFFFFF"/>
                      <w:kern w:val="0"/>
                      <w:sz w:val="18"/>
                      <w:szCs w:val="18"/>
                      <w:u w:val="none"/>
                      <w:bdr w:val="none" w:color="auto" w:sz="0" w:space="0"/>
                      <w:lang w:val="en-US" w:eastAsia="zh-CN" w:bidi="ar"/>
                    </w:rPr>
                    <w:t>研究方向</w:t>
                  </w:r>
                </w:p>
              </w:tc>
              <w:tc>
                <w:tcPr>
                  <w:tcW w:w="4300" w:type="pct"/>
                  <w:shd w:val="clear" w:color="auto" w:fill="193F8A"/>
                  <w:tcMar>
                    <w:top w:w="45" w:type="dxa"/>
                    <w:left w:w="150" w:type="dxa"/>
                    <w:bottom w:w="45" w:type="dxa"/>
                  </w:tcMar>
                  <w:vAlign w:val="top"/>
                </w:tcPr>
                <w:p>
                  <w:pPr>
                    <w:keepNext w:val="0"/>
                    <w:keepLines w:val="0"/>
                    <w:widowControl/>
                    <w:suppressLineNumbers w:val="0"/>
                    <w:shd w:val="clear" w:fill="193F8A"/>
                    <w:spacing w:line="330" w:lineRule="atLeast"/>
                    <w:jc w:val="left"/>
                    <w:rPr>
                      <w:rFonts w:hint="eastAsia" w:ascii="宋体" w:hAnsi="宋体" w:eastAsia="宋体" w:cs="宋体"/>
                      <w:b/>
                      <w:i w:val="0"/>
                      <w:color w:val="FFFFFF"/>
                      <w:sz w:val="18"/>
                      <w:szCs w:val="18"/>
                      <w:u w:val="none"/>
                    </w:rPr>
                  </w:pPr>
                  <w:r>
                    <w:rPr>
                      <w:rStyle w:val="4"/>
                      <w:rFonts w:hint="eastAsia" w:ascii="宋体" w:hAnsi="宋体" w:eastAsia="宋体" w:cs="宋体"/>
                      <w:i w:val="0"/>
                      <w:color w:val="FFFFFF"/>
                      <w:kern w:val="0"/>
                      <w:sz w:val="18"/>
                      <w:szCs w:val="18"/>
                      <w:u w:val="none"/>
                      <w:bdr w:val="none" w:color="auto" w:sz="0" w:space="0"/>
                      <w:lang w:val="en-US" w:eastAsia="zh-CN" w:bidi="ar"/>
                    </w:rPr>
                    <w:t>初试科目</w:t>
                  </w:r>
                </w:p>
              </w:tc>
            </w:tr>
            <w:tr>
              <w:tblPrEx>
                <w:shd w:val="clear" w:color="auto" w:fill="CCCCCC"/>
                <w:tblCellMar>
                  <w:top w:w="0" w:type="dxa"/>
                  <w:left w:w="0" w:type="dxa"/>
                  <w:bottom w:w="0" w:type="dxa"/>
                  <w:right w:w="0" w:type="dxa"/>
                </w:tblCellMar>
              </w:tblPrEx>
              <w:trPr>
                <w:tblCellSpacing w:w="7" w:type="dxa"/>
              </w:trPr>
              <w:tc>
                <w:tcPr>
                  <w:tcW w:w="6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jc w:val="left"/>
                    <w:rPr>
                      <w:rFonts w:hint="eastAsia" w:ascii="宋体" w:hAnsi="宋体" w:eastAsia="宋体" w:cs="宋体"/>
                      <w:i w:val="0"/>
                      <w:color w:val="003399"/>
                      <w:sz w:val="18"/>
                      <w:szCs w:val="18"/>
                      <w:u w:val="none"/>
                    </w:rPr>
                  </w:pPr>
                  <w:r>
                    <w:rPr>
                      <w:rFonts w:hint="eastAsia" w:ascii="宋体" w:hAnsi="宋体" w:eastAsia="宋体" w:cs="宋体"/>
                      <w:i w:val="0"/>
                      <w:color w:val="003399"/>
                      <w:kern w:val="0"/>
                      <w:sz w:val="18"/>
                      <w:szCs w:val="18"/>
                      <w:u w:val="none"/>
                      <w:bdr w:val="none" w:color="auto" w:sz="0" w:space="0"/>
                      <w:lang w:val="en-US" w:eastAsia="zh-CN" w:bidi="ar"/>
                    </w:rPr>
                    <w:t>1、核技术及应用 </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2、同步辐射及应用 </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3、辐射防护与环境保护</w:t>
                  </w:r>
                </w:p>
              </w:tc>
              <w:tc>
                <w:tcPr>
                  <w:tcW w:w="43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jc w:val="left"/>
                    <w:rPr>
                      <w:rFonts w:hint="eastAsia" w:ascii="宋体" w:hAnsi="宋体" w:eastAsia="宋体" w:cs="宋体"/>
                      <w:i w:val="0"/>
                      <w:color w:val="003399"/>
                      <w:sz w:val="18"/>
                      <w:szCs w:val="18"/>
                      <w:u w:val="none"/>
                    </w:rPr>
                  </w:pPr>
                  <w:r>
                    <w:rPr>
                      <w:rFonts w:hint="eastAsia" w:ascii="宋体" w:hAnsi="宋体" w:eastAsia="宋体" w:cs="宋体"/>
                      <w:i w:val="0"/>
                      <w:color w:val="003399"/>
                      <w:kern w:val="0"/>
                      <w:sz w:val="18"/>
                      <w:szCs w:val="18"/>
                      <w:u w:val="none"/>
                      <w:bdr w:val="none" w:color="auto" w:sz="0" w:space="0"/>
                      <w:lang w:val="en-US" w:eastAsia="zh-CN" w:bidi="ar"/>
                    </w:rPr>
                    <w:t>101思想政治理论 </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201英语一 </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301数学一 </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802材料科学基础或810电子学基础或813高分子化学与物理或815固体物理或821机械设计或828量子力学或832普通物理B或833热工基础或846综合化学或850应用光学</w:t>
                  </w:r>
                </w:p>
              </w:tc>
            </w:tr>
          </w:tbl>
          <w:p>
            <w:pPr>
              <w:keepNext w:val="0"/>
              <w:keepLines w:val="0"/>
              <w:widowControl/>
              <w:suppressLineNumbers w:val="0"/>
              <w:jc w:val="left"/>
            </w:pP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四、复试形式</w:t>
            </w:r>
            <w:r>
              <w:rPr>
                <w:rFonts w:hint="eastAsia" w:ascii="宋体" w:hAnsi="宋体" w:eastAsia="宋体" w:cs="宋体"/>
                <w:i w:val="0"/>
                <w:caps w:val="0"/>
                <w:color w:val="575757"/>
                <w:spacing w:val="0"/>
                <w:kern w:val="0"/>
                <w:sz w:val="18"/>
                <w:szCs w:val="18"/>
                <w:u w:val="none"/>
                <w:bdr w:val="none" w:color="auto" w:sz="0" w:space="0"/>
                <w:lang w:val="en-US" w:eastAsia="zh-CN" w:bidi="ar"/>
              </w:rPr>
              <w:t>：面试。</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五、复试内容</w:t>
            </w:r>
            <w:r>
              <w:rPr>
                <w:rFonts w:hint="eastAsia" w:ascii="宋体" w:hAnsi="宋体" w:eastAsia="宋体" w:cs="宋体"/>
                <w:i w:val="0"/>
                <w:caps w:val="0"/>
                <w:color w:val="575757"/>
                <w:spacing w:val="0"/>
                <w:kern w:val="0"/>
                <w:sz w:val="18"/>
                <w:szCs w:val="18"/>
                <w:u w:val="none"/>
                <w:bdr w:val="none" w:color="auto" w:sz="0" w:space="0"/>
                <w:lang w:val="en-US" w:eastAsia="zh-CN" w:bidi="ar"/>
              </w:rPr>
              <w:t>：</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专业素质考核：考察考生对本学科（专业）理论知识和应用技能掌握程度，特别是考察考生对本专业基本知识和基本概念的掌握和理解、对本学科发展动态的了解以及在本专业领域发展的潜力。</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综合素质考核：考察考生思想政治素质和道德品质、外语听说能力、本专业以外的学习、科研和社会实践或实际工作等方面的经历、个性心理特征、诚信状况、意志品质等。</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六、复试成绩</w:t>
            </w:r>
            <w:r>
              <w:rPr>
                <w:rFonts w:hint="eastAsia" w:ascii="宋体" w:hAnsi="宋体" w:eastAsia="宋体" w:cs="宋体"/>
                <w:i w:val="0"/>
                <w:caps w:val="0"/>
                <w:color w:val="575757"/>
                <w:spacing w:val="0"/>
                <w:kern w:val="0"/>
                <w:sz w:val="18"/>
                <w:szCs w:val="18"/>
                <w:u w:val="none"/>
                <w:bdr w:val="none" w:color="auto" w:sz="0" w:space="0"/>
                <w:lang w:val="en-US" w:eastAsia="zh-CN" w:bidi="ar"/>
              </w:rPr>
              <w:t>：满分100分。</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七、最终成绩</w:t>
            </w:r>
            <w:r>
              <w:rPr>
                <w:rFonts w:hint="eastAsia" w:ascii="宋体" w:hAnsi="宋体" w:eastAsia="宋体" w:cs="宋体"/>
                <w:i w:val="0"/>
                <w:caps w:val="0"/>
                <w:color w:val="575757"/>
                <w:spacing w:val="0"/>
                <w:kern w:val="0"/>
                <w:sz w:val="18"/>
                <w:szCs w:val="18"/>
                <w:u w:val="none"/>
                <w:bdr w:val="none" w:color="auto" w:sz="0" w:space="0"/>
                <w:lang w:val="en-US" w:eastAsia="zh-CN" w:bidi="ar"/>
              </w:rPr>
              <w:t>：满分100分，复试成绩占比50%，即最终成绩=（初试成绩÷5+复试成绩）÷2。</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八、录取</w:t>
            </w:r>
            <w:r>
              <w:rPr>
                <w:rFonts w:hint="eastAsia" w:ascii="宋体" w:hAnsi="宋体" w:eastAsia="宋体" w:cs="宋体"/>
                <w:i w:val="0"/>
                <w:caps w:val="0"/>
                <w:color w:val="575757"/>
                <w:spacing w:val="0"/>
                <w:kern w:val="0"/>
                <w:sz w:val="18"/>
                <w:szCs w:val="18"/>
                <w:u w:val="none"/>
                <w:bdr w:val="none" w:color="auto" w:sz="0" w:space="0"/>
                <w:lang w:val="en-US" w:eastAsia="zh-CN" w:bidi="ar"/>
              </w:rPr>
              <w:t>：按最终成绩由高到低排序，提出拟录取名单报批。为保证招生质量，报批人数可小于招生计划。</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九、调剂</w:t>
            </w:r>
            <w:r>
              <w:rPr>
                <w:rFonts w:hint="eastAsia" w:ascii="宋体" w:hAnsi="宋体" w:eastAsia="宋体" w:cs="宋体"/>
                <w:i w:val="0"/>
                <w:caps w:val="0"/>
                <w:color w:val="575757"/>
                <w:spacing w:val="0"/>
                <w:kern w:val="0"/>
                <w:sz w:val="18"/>
                <w:szCs w:val="18"/>
                <w:u w:val="none"/>
                <w:bdr w:val="none" w:color="auto" w:sz="0" w:space="0"/>
                <w:lang w:val="en-US" w:eastAsia="zh-CN" w:bidi="ar"/>
              </w:rPr>
              <w:t>：本专业在生源不足的情况下接受调剂。调剂信息将于复试阶段在中国科大研究生招生在线网站（http://yz.ustc.edu.cn）发布。</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十、学费标准：</w:t>
            </w:r>
            <w:r>
              <w:rPr>
                <w:rFonts w:hint="eastAsia" w:ascii="宋体" w:hAnsi="宋体" w:eastAsia="宋体" w:cs="宋体"/>
                <w:i w:val="0"/>
                <w:caps w:val="0"/>
                <w:color w:val="575757"/>
                <w:spacing w:val="0"/>
                <w:kern w:val="0"/>
                <w:sz w:val="18"/>
                <w:szCs w:val="18"/>
                <w:u w:val="none"/>
                <w:bdr w:val="none" w:color="auto" w:sz="0" w:space="0"/>
                <w:lang w:val="en-US" w:eastAsia="zh-CN" w:bidi="ar"/>
              </w:rPr>
              <w:t>8000元/学年。</w:t>
            </w:r>
          </w:p>
        </w:tc>
      </w:tr>
    </w:tbl>
    <w:p>
      <w:pPr>
        <w:rPr>
          <w:rFonts w:hint="eastAsia"/>
        </w:rPr>
      </w:pPr>
    </w:p>
    <w:p>
      <w:pPr>
        <w:rPr>
          <w:rFonts w:hint="eastAsia"/>
        </w:rPr>
      </w:pPr>
    </w:p>
    <w:tbl>
      <w:tblPr>
        <w:tblW w:w="11100" w:type="dxa"/>
        <w:tblCellSpacing w:w="0" w:type="dxa"/>
        <w:tblInd w:w="0" w:type="dxa"/>
        <w:shd w:val="clear" w:color="auto" w:fill="FFFFFF"/>
        <w:tblLayout w:type="autofit"/>
        <w:tblCellMar>
          <w:top w:w="0" w:type="dxa"/>
          <w:left w:w="0" w:type="dxa"/>
          <w:bottom w:w="0" w:type="dxa"/>
          <w:right w:w="0" w:type="dxa"/>
        </w:tblCellMar>
      </w:tblPr>
      <w:tblGrid>
        <w:gridCol w:w="11100"/>
      </w:tblGrid>
      <w:tr>
        <w:tblPrEx>
          <w:shd w:val="clear" w:color="auto" w:fill="FFFFFF"/>
          <w:tblCellMar>
            <w:top w:w="0" w:type="dxa"/>
            <w:left w:w="0" w:type="dxa"/>
            <w:bottom w:w="0" w:type="dxa"/>
            <w:right w:w="0" w:type="dxa"/>
          </w:tblCellMar>
        </w:tblPrEx>
        <w:trPr>
          <w:tblCellSpacing w:w="0" w:type="dxa"/>
        </w:trPr>
        <w:tc>
          <w:tcPr>
            <w:tcW w:w="0" w:type="auto"/>
            <w:shd w:val="clear" w:color="auto" w:fill="FFFFFF"/>
            <w:vAlign w:val="center"/>
          </w:tcPr>
          <w:tbl>
            <w:tblPr>
              <w:tblW w:w="11100" w:type="dxa"/>
              <w:jc w:val="center"/>
              <w:tblCellSpacing w:w="15" w:type="dxa"/>
              <w:shd w:val="clear"/>
              <w:tblLayout w:type="autofit"/>
              <w:tblCellMar>
                <w:top w:w="0" w:type="dxa"/>
                <w:left w:w="0" w:type="dxa"/>
                <w:bottom w:w="0" w:type="dxa"/>
                <w:right w:w="0" w:type="dxa"/>
              </w:tblCellMar>
            </w:tblPr>
            <w:tblGrid>
              <w:gridCol w:w="3227"/>
              <w:gridCol w:w="1013"/>
              <w:gridCol w:w="1434"/>
              <w:gridCol w:w="2526"/>
              <w:gridCol w:w="2900"/>
            </w:tblGrid>
            <w:tr>
              <w:tblPrEx>
                <w:tblCellMar>
                  <w:top w:w="0" w:type="dxa"/>
                  <w:left w:w="0" w:type="dxa"/>
                  <w:bottom w:w="0" w:type="dxa"/>
                  <w:right w:w="0" w:type="dxa"/>
                </w:tblCellMar>
              </w:tblPrEx>
              <w:trPr>
                <w:trHeight w:val="450" w:hRule="atLeast"/>
                <w:tblCellSpacing w:w="15" w:type="dxa"/>
                <w:jc w:val="center"/>
              </w:trPr>
              <w:tc>
                <w:tcPr>
                  <w:tcW w:w="0" w:type="auto"/>
                  <w:gridSpan w:val="5"/>
                  <w:shd w:val="clear" w:color="auto" w:fill="DEF1FB"/>
                  <w:tcMar>
                    <w:left w:w="150" w:type="dxa"/>
                  </w:tcMar>
                  <w:vAlign w:val="center"/>
                </w:tcPr>
                <w:p>
                  <w:pPr>
                    <w:keepNext w:val="0"/>
                    <w:keepLines w:val="0"/>
                    <w:widowControl/>
                    <w:suppressLineNumbers w:val="0"/>
                    <w:shd w:val="clear" w:fill="DEF1FB"/>
                    <w:spacing w:line="330" w:lineRule="atLeast"/>
                    <w:jc w:val="left"/>
                    <w:rPr>
                      <w:rFonts w:hint="eastAsia" w:ascii="宋体" w:hAnsi="宋体" w:eastAsia="宋体" w:cs="宋体"/>
                      <w:b/>
                      <w:i w:val="0"/>
                      <w:color w:val="666666"/>
                      <w:sz w:val="18"/>
                      <w:szCs w:val="18"/>
                      <w:u w:val="none"/>
                    </w:rPr>
                  </w:pPr>
                  <w:r>
                    <w:rPr>
                      <w:rFonts w:hint="eastAsia" w:ascii="宋体" w:hAnsi="宋体" w:eastAsia="宋体" w:cs="宋体"/>
                      <w:b/>
                      <w:i w:val="0"/>
                      <w:color w:val="666666"/>
                      <w:kern w:val="0"/>
                      <w:sz w:val="18"/>
                      <w:szCs w:val="18"/>
                      <w:u w:val="none"/>
                      <w:bdr w:val="none" w:color="auto" w:sz="0" w:space="0"/>
                      <w:lang w:val="en-US" w:eastAsia="zh-CN" w:bidi="ar"/>
                    </w:rPr>
                    <w:t>学科专业名称：能源动力</w:t>
                  </w:r>
                  <w:r>
                    <w:rPr>
                      <w:rFonts w:hint="eastAsia" w:ascii="宋体" w:hAnsi="宋体" w:eastAsia="宋体" w:cs="宋体"/>
                      <w:b/>
                      <w:i w:val="0"/>
                      <w:color w:val="003399"/>
                      <w:kern w:val="0"/>
                      <w:sz w:val="18"/>
                      <w:szCs w:val="18"/>
                      <w:u w:val="none"/>
                      <w:bdr w:val="none" w:color="auto" w:sz="0" w:space="0"/>
                      <w:lang w:val="en-US" w:eastAsia="zh-CN" w:bidi="ar"/>
                    </w:rPr>
                    <w:t>（专业代码</w:t>
                  </w:r>
                  <w:r>
                    <w:rPr>
                      <w:rStyle w:val="4"/>
                      <w:rFonts w:hint="eastAsia" w:ascii="宋体" w:hAnsi="宋体" w:eastAsia="宋体" w:cs="宋体"/>
                      <w:i w:val="0"/>
                      <w:color w:val="003399"/>
                      <w:kern w:val="0"/>
                      <w:sz w:val="18"/>
                      <w:szCs w:val="18"/>
                      <w:u w:val="none"/>
                      <w:bdr w:val="none" w:color="auto" w:sz="0" w:space="0"/>
                      <w:lang w:val="en-US" w:eastAsia="zh-CN" w:bidi="ar"/>
                    </w:rPr>
                    <w:t>085800）</w:t>
                  </w:r>
                </w:p>
              </w:tc>
            </w:tr>
            <w:tr>
              <w:tblPrEx>
                <w:tblCellMar>
                  <w:top w:w="0" w:type="dxa"/>
                  <w:left w:w="0" w:type="dxa"/>
                  <w:bottom w:w="0" w:type="dxa"/>
                  <w:right w:w="0" w:type="dxa"/>
                </w:tblCellMar>
              </w:tblPrEx>
              <w:trPr>
                <w:trHeight w:val="30" w:hRule="atLeast"/>
                <w:tblCellSpacing w:w="15" w:type="dxa"/>
                <w:jc w:val="center"/>
              </w:trPr>
              <w:tc>
                <w:tcPr>
                  <w:tcW w:w="3060" w:type="dxa"/>
                  <w:shd w:val="clear"/>
                  <w:vAlign w:val="center"/>
                </w:tcPr>
                <w:p>
                  <w:pPr>
                    <w:rPr>
                      <w:rFonts w:hint="eastAsia" w:ascii="宋体"/>
                      <w:sz w:val="24"/>
                      <w:szCs w:val="24"/>
                    </w:rPr>
                  </w:pPr>
                </w:p>
              </w:tc>
              <w:tc>
                <w:tcPr>
                  <w:tcW w:w="945" w:type="dxa"/>
                  <w:shd w:val="clear"/>
                  <w:vAlign w:val="center"/>
                </w:tcPr>
                <w:p>
                  <w:pPr>
                    <w:rPr>
                      <w:rFonts w:hint="eastAsia" w:ascii="宋体"/>
                      <w:sz w:val="24"/>
                      <w:szCs w:val="24"/>
                    </w:rPr>
                  </w:pPr>
                </w:p>
              </w:tc>
              <w:tc>
                <w:tcPr>
                  <w:tcW w:w="1350" w:type="dxa"/>
                  <w:shd w:val="clear"/>
                  <w:vAlign w:val="center"/>
                </w:tcPr>
                <w:p>
                  <w:pPr>
                    <w:rPr>
                      <w:rFonts w:hint="eastAsia" w:ascii="宋体"/>
                      <w:sz w:val="24"/>
                      <w:szCs w:val="24"/>
                    </w:rPr>
                  </w:pPr>
                </w:p>
              </w:tc>
              <w:tc>
                <w:tcPr>
                  <w:tcW w:w="2400" w:type="dxa"/>
                  <w:shd w:val="clear"/>
                  <w:vAlign w:val="center"/>
                </w:tcPr>
                <w:p>
                  <w:pPr>
                    <w:rPr>
                      <w:rFonts w:hint="eastAsia" w:ascii="宋体"/>
                      <w:sz w:val="24"/>
                      <w:szCs w:val="24"/>
                    </w:rPr>
                  </w:pPr>
                </w:p>
              </w:tc>
              <w:tc>
                <w:tcPr>
                  <w:tcW w:w="2745" w:type="dxa"/>
                  <w:shd w:val="clear"/>
                  <w:vAlign w:val="center"/>
                </w:tcPr>
                <w:p>
                  <w:pPr>
                    <w:rPr>
                      <w:rFonts w:hint="eastAsia" w:ascii="宋体"/>
                      <w:sz w:val="24"/>
                      <w:szCs w:val="24"/>
                    </w:rPr>
                  </w:pPr>
                </w:p>
              </w:tc>
            </w:tr>
          </w:tbl>
          <w:p>
            <w:pPr>
              <w:rPr>
                <w:rFonts w:ascii="微软雅黑" w:hAnsi="微软雅黑" w:eastAsia="微软雅黑" w:cs="微软雅黑"/>
                <w:i w:val="0"/>
                <w:caps w:val="0"/>
                <w:color w:val="000000"/>
                <w:spacing w:val="0"/>
                <w:sz w:val="27"/>
                <w:szCs w:val="27"/>
              </w:rPr>
            </w:pPr>
          </w:p>
        </w:tc>
      </w:tr>
      <w:tr>
        <w:tblPrEx>
          <w:shd w:val="clear" w:color="auto" w:fill="FFFFFF"/>
          <w:tblCellMar>
            <w:top w:w="0" w:type="dxa"/>
            <w:left w:w="0" w:type="dxa"/>
            <w:bottom w:w="0" w:type="dxa"/>
            <w:right w:w="0" w:type="dxa"/>
          </w:tblCellMar>
        </w:tblPrEx>
        <w:trPr>
          <w:tblCellSpacing w:w="0" w:type="dxa"/>
        </w:trPr>
        <w:tc>
          <w:tcPr>
            <w:tcW w:w="0" w:type="auto"/>
            <w:shd w:val="clear" w:color="auto" w:fill="FFFFFF"/>
            <w:tcMar>
              <w:top w:w="225" w:type="dxa"/>
              <w:left w:w="75" w:type="dxa"/>
              <w:bottom w:w="225" w:type="dxa"/>
              <w:right w:w="75" w:type="dxa"/>
            </w:tcMar>
            <w:vAlign w:val="center"/>
          </w:tcPr>
          <w:p>
            <w:pPr>
              <w:keepNext w:val="0"/>
              <w:keepLines w:val="0"/>
              <w:widowControl/>
              <w:suppressLineNumbers w:val="0"/>
              <w:spacing w:line="330" w:lineRule="atLeast"/>
              <w:ind w:left="0" w:firstLine="0"/>
              <w:jc w:val="left"/>
              <w:rPr>
                <w:rFonts w:hint="eastAsia" w:ascii="宋体" w:hAnsi="宋体" w:eastAsia="宋体" w:cs="宋体"/>
                <w:i w:val="0"/>
                <w:caps w:val="0"/>
                <w:color w:val="575757"/>
                <w:spacing w:val="0"/>
                <w:sz w:val="18"/>
                <w:szCs w:val="18"/>
                <w:u w:val="none"/>
              </w:rPr>
            </w:pP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一、报考说明</w:t>
            </w:r>
            <w:r>
              <w:rPr>
                <w:rFonts w:hint="eastAsia" w:ascii="宋体" w:hAnsi="宋体" w:eastAsia="宋体" w:cs="宋体"/>
                <w:i w:val="0"/>
                <w:caps w:val="0"/>
                <w:color w:val="575757"/>
                <w:spacing w:val="0"/>
                <w:kern w:val="0"/>
                <w:sz w:val="18"/>
                <w:szCs w:val="18"/>
                <w:u w:val="none"/>
                <w:bdr w:val="none" w:color="auto" w:sz="0" w:space="0"/>
                <w:lang w:val="en-US" w:eastAsia="zh-CN" w:bidi="ar"/>
              </w:rPr>
              <w:t>：</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接收推免生及统考生。</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二、专业介绍</w:t>
            </w:r>
            <w:r>
              <w:rPr>
                <w:rFonts w:hint="eastAsia" w:ascii="宋体" w:hAnsi="宋体" w:eastAsia="宋体" w:cs="宋体"/>
                <w:i w:val="0"/>
                <w:caps w:val="0"/>
                <w:color w:val="575757"/>
                <w:spacing w:val="0"/>
                <w:kern w:val="0"/>
                <w:sz w:val="18"/>
                <w:szCs w:val="18"/>
                <w:u w:val="none"/>
                <w:bdr w:val="none" w:color="auto" w:sz="0" w:space="0"/>
                <w:lang w:val="en-US" w:eastAsia="zh-CN" w:bidi="ar"/>
              </w:rPr>
              <w:t>：</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国家同步辐射实验室“能源动力”专业涉及到核技术及应用、同步辐射及应用、辐射防护与环境保护等许多领域、本专业学位获得者应掌握核技术工程领域的坚实基础理论和专业知识，掌握解决该领域工程问题的先进技术方法和实验手段，具有独立担负工程技术和工程管理工作的能力。</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研究生毕业后，留在国内仍然从事本学科专业工作的，一般进入中国科学院相关研究所、中国工程物理研究院、中国原子能科学研究院、国有核工业企业集团、高等院校、国家与省级核安全管理部门，以及其他民营企业集团就业。</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三、研究方向及初试科目</w:t>
            </w:r>
            <w:r>
              <w:rPr>
                <w:rFonts w:hint="eastAsia" w:ascii="宋体" w:hAnsi="宋体" w:eastAsia="宋体" w:cs="宋体"/>
                <w:i w:val="0"/>
                <w:caps w:val="0"/>
                <w:color w:val="575757"/>
                <w:spacing w:val="0"/>
                <w:kern w:val="0"/>
                <w:sz w:val="18"/>
                <w:szCs w:val="18"/>
                <w:u w:val="none"/>
                <w:bdr w:val="none" w:color="auto" w:sz="0" w:space="0"/>
                <w:lang w:val="en-US" w:eastAsia="zh-CN" w:bidi="ar"/>
              </w:rPr>
              <w:t>：</w:t>
            </w:r>
          </w:p>
          <w:tbl>
            <w:tblPr>
              <w:tblW w:w="5000" w:type="pct"/>
              <w:tblCellSpacing w:w="7" w:type="dxa"/>
              <w:tblInd w:w="0" w:type="dxa"/>
              <w:shd w:val="clear" w:color="auto" w:fill="CCCCCC"/>
              <w:tblLayout w:type="autofit"/>
              <w:tblCellMar>
                <w:top w:w="0" w:type="dxa"/>
                <w:left w:w="0" w:type="dxa"/>
                <w:bottom w:w="0" w:type="dxa"/>
                <w:right w:w="0" w:type="dxa"/>
              </w:tblCellMar>
            </w:tblPr>
            <w:tblGrid>
              <w:gridCol w:w="5475"/>
              <w:gridCol w:w="5475"/>
            </w:tblGrid>
            <w:tr>
              <w:tblPrEx>
                <w:shd w:val="clear" w:color="auto" w:fill="CCCCCC"/>
                <w:tblCellMar>
                  <w:top w:w="0" w:type="dxa"/>
                  <w:left w:w="0" w:type="dxa"/>
                  <w:bottom w:w="0" w:type="dxa"/>
                  <w:right w:w="0" w:type="dxa"/>
                </w:tblCellMar>
              </w:tblPrEx>
              <w:trPr>
                <w:tblCellSpacing w:w="7" w:type="dxa"/>
              </w:trPr>
              <w:tc>
                <w:tcPr>
                  <w:tcW w:w="2500" w:type="pct"/>
                  <w:shd w:val="clear" w:color="auto" w:fill="193F8A"/>
                  <w:tcMar>
                    <w:top w:w="45" w:type="dxa"/>
                    <w:left w:w="150" w:type="dxa"/>
                    <w:bottom w:w="45" w:type="dxa"/>
                  </w:tcMar>
                  <w:vAlign w:val="top"/>
                </w:tcPr>
                <w:p>
                  <w:pPr>
                    <w:keepNext w:val="0"/>
                    <w:keepLines w:val="0"/>
                    <w:widowControl/>
                    <w:suppressLineNumbers w:val="0"/>
                    <w:shd w:val="clear" w:fill="193F8A"/>
                    <w:spacing w:line="330" w:lineRule="atLeast"/>
                    <w:jc w:val="left"/>
                    <w:rPr>
                      <w:rFonts w:hint="eastAsia" w:ascii="宋体" w:hAnsi="宋体" w:eastAsia="宋体" w:cs="宋体"/>
                      <w:b/>
                      <w:i w:val="0"/>
                      <w:color w:val="FFFFFF"/>
                      <w:sz w:val="18"/>
                      <w:szCs w:val="18"/>
                      <w:u w:val="none"/>
                    </w:rPr>
                  </w:pPr>
                  <w:r>
                    <w:rPr>
                      <w:rStyle w:val="4"/>
                      <w:rFonts w:hint="eastAsia" w:ascii="宋体" w:hAnsi="宋体" w:eastAsia="宋体" w:cs="宋体"/>
                      <w:i w:val="0"/>
                      <w:color w:val="FFFFFF"/>
                      <w:kern w:val="0"/>
                      <w:sz w:val="18"/>
                      <w:szCs w:val="18"/>
                      <w:u w:val="none"/>
                      <w:bdr w:val="none" w:color="auto" w:sz="0" w:space="0"/>
                      <w:lang w:val="en-US" w:eastAsia="zh-CN" w:bidi="ar"/>
                    </w:rPr>
                    <w:t>研究方向</w:t>
                  </w:r>
                </w:p>
              </w:tc>
              <w:tc>
                <w:tcPr>
                  <w:tcW w:w="2500" w:type="pct"/>
                  <w:shd w:val="clear" w:color="auto" w:fill="193F8A"/>
                  <w:tcMar>
                    <w:top w:w="45" w:type="dxa"/>
                    <w:left w:w="150" w:type="dxa"/>
                    <w:bottom w:w="45" w:type="dxa"/>
                  </w:tcMar>
                  <w:vAlign w:val="top"/>
                </w:tcPr>
                <w:p>
                  <w:pPr>
                    <w:keepNext w:val="0"/>
                    <w:keepLines w:val="0"/>
                    <w:widowControl/>
                    <w:suppressLineNumbers w:val="0"/>
                    <w:shd w:val="clear" w:fill="193F8A"/>
                    <w:spacing w:line="330" w:lineRule="atLeast"/>
                    <w:jc w:val="left"/>
                    <w:rPr>
                      <w:rFonts w:hint="eastAsia" w:ascii="宋体" w:hAnsi="宋体" w:eastAsia="宋体" w:cs="宋体"/>
                      <w:b/>
                      <w:i w:val="0"/>
                      <w:color w:val="FFFFFF"/>
                      <w:sz w:val="18"/>
                      <w:szCs w:val="18"/>
                      <w:u w:val="none"/>
                    </w:rPr>
                  </w:pPr>
                  <w:r>
                    <w:rPr>
                      <w:rStyle w:val="4"/>
                      <w:rFonts w:hint="eastAsia" w:ascii="宋体" w:hAnsi="宋体" w:eastAsia="宋体" w:cs="宋体"/>
                      <w:i w:val="0"/>
                      <w:color w:val="FFFFFF"/>
                      <w:kern w:val="0"/>
                      <w:sz w:val="18"/>
                      <w:szCs w:val="18"/>
                      <w:u w:val="none"/>
                      <w:bdr w:val="none" w:color="auto" w:sz="0" w:space="0"/>
                      <w:lang w:val="en-US" w:eastAsia="zh-CN" w:bidi="ar"/>
                    </w:rPr>
                    <w:t>初试科目</w:t>
                  </w:r>
                </w:p>
              </w:tc>
            </w:tr>
            <w:tr>
              <w:tblPrEx>
                <w:tblCellMar>
                  <w:top w:w="0" w:type="dxa"/>
                  <w:left w:w="0" w:type="dxa"/>
                  <w:bottom w:w="0" w:type="dxa"/>
                  <w:right w:w="0" w:type="dxa"/>
                </w:tblCellMar>
              </w:tblPrEx>
              <w:trPr>
                <w:tblCellSpacing w:w="7" w:type="dxa"/>
              </w:trPr>
              <w:tc>
                <w:tcPr>
                  <w:tcW w:w="25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jc w:val="left"/>
                    <w:rPr>
                      <w:rFonts w:hint="eastAsia" w:ascii="宋体" w:hAnsi="宋体" w:eastAsia="宋体" w:cs="宋体"/>
                      <w:i w:val="0"/>
                      <w:color w:val="003399"/>
                      <w:sz w:val="18"/>
                      <w:szCs w:val="18"/>
                      <w:u w:val="none"/>
                    </w:rPr>
                  </w:pPr>
                  <w:r>
                    <w:rPr>
                      <w:rFonts w:hint="eastAsia" w:ascii="宋体" w:hAnsi="宋体" w:eastAsia="宋体" w:cs="宋体"/>
                      <w:i w:val="0"/>
                      <w:color w:val="003399"/>
                      <w:kern w:val="0"/>
                      <w:sz w:val="18"/>
                      <w:szCs w:val="18"/>
                      <w:u w:val="none"/>
                      <w:bdr w:val="none" w:color="auto" w:sz="0" w:space="0"/>
                      <w:lang w:val="en-US" w:eastAsia="zh-CN" w:bidi="ar"/>
                    </w:rPr>
                    <w:t>1、核能与核技术工程</w:t>
                  </w:r>
                </w:p>
              </w:tc>
              <w:tc>
                <w:tcPr>
                  <w:tcW w:w="25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jc w:val="left"/>
                    <w:rPr>
                      <w:rFonts w:hint="eastAsia" w:ascii="宋体" w:hAnsi="宋体" w:eastAsia="宋体" w:cs="宋体"/>
                      <w:i w:val="0"/>
                      <w:color w:val="003399"/>
                      <w:sz w:val="18"/>
                      <w:szCs w:val="18"/>
                      <w:u w:val="none"/>
                    </w:rPr>
                  </w:pPr>
                  <w:r>
                    <w:rPr>
                      <w:rFonts w:hint="eastAsia" w:ascii="宋体" w:hAnsi="宋体" w:eastAsia="宋体" w:cs="宋体"/>
                      <w:i w:val="0"/>
                      <w:color w:val="003399"/>
                      <w:kern w:val="0"/>
                      <w:sz w:val="18"/>
                      <w:szCs w:val="18"/>
                      <w:u w:val="none"/>
                      <w:bdr w:val="none" w:color="auto" w:sz="0" w:space="0"/>
                      <w:lang w:val="en-US" w:eastAsia="zh-CN" w:bidi="ar"/>
                    </w:rPr>
                    <w:t>101思想政治理论 </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201英语一 </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301数学一 </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832普通物理B或846综合化学</w:t>
                  </w:r>
                </w:p>
              </w:tc>
            </w:tr>
          </w:tbl>
          <w:p>
            <w:pPr>
              <w:keepNext w:val="0"/>
              <w:keepLines w:val="0"/>
              <w:widowControl/>
              <w:suppressLineNumbers w:val="0"/>
              <w:jc w:val="left"/>
            </w:pP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四、复试形式</w:t>
            </w:r>
            <w:r>
              <w:rPr>
                <w:rFonts w:hint="eastAsia" w:ascii="宋体" w:hAnsi="宋体" w:eastAsia="宋体" w:cs="宋体"/>
                <w:i w:val="0"/>
                <w:caps w:val="0"/>
                <w:color w:val="575757"/>
                <w:spacing w:val="0"/>
                <w:kern w:val="0"/>
                <w:sz w:val="18"/>
                <w:szCs w:val="18"/>
                <w:u w:val="none"/>
                <w:bdr w:val="none" w:color="auto" w:sz="0" w:space="0"/>
                <w:lang w:val="en-US" w:eastAsia="zh-CN" w:bidi="ar"/>
              </w:rPr>
              <w:t>：面试。</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五、复试内容</w:t>
            </w:r>
            <w:r>
              <w:rPr>
                <w:rFonts w:hint="eastAsia" w:ascii="宋体" w:hAnsi="宋体" w:eastAsia="宋体" w:cs="宋体"/>
                <w:i w:val="0"/>
                <w:caps w:val="0"/>
                <w:color w:val="575757"/>
                <w:spacing w:val="0"/>
                <w:kern w:val="0"/>
                <w:sz w:val="18"/>
                <w:szCs w:val="18"/>
                <w:u w:val="none"/>
                <w:bdr w:val="none" w:color="auto" w:sz="0" w:space="0"/>
                <w:lang w:val="en-US" w:eastAsia="zh-CN" w:bidi="ar"/>
              </w:rPr>
              <w:t>：</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专业素质考核：考察考生对本学科（专业）理论知识和应用技能掌握程度，特别是考察考生对本专业基本知识和基本概念的掌握和理解、对本学科发展动态的了解以及在本专业领域发展的潜力。</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综合素质考核：考察考生思想政治素质和道德品质、外语听说能力、本专业以外的学习、科研和社会实践或实际工作等方面的经历、个性心理特征、诚信状况、意志品质等。</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六、复试成绩</w:t>
            </w:r>
            <w:r>
              <w:rPr>
                <w:rFonts w:hint="eastAsia" w:ascii="宋体" w:hAnsi="宋体" w:eastAsia="宋体" w:cs="宋体"/>
                <w:i w:val="0"/>
                <w:caps w:val="0"/>
                <w:color w:val="575757"/>
                <w:spacing w:val="0"/>
                <w:kern w:val="0"/>
                <w:sz w:val="18"/>
                <w:szCs w:val="18"/>
                <w:u w:val="none"/>
                <w:bdr w:val="none" w:color="auto" w:sz="0" w:space="0"/>
                <w:lang w:val="en-US" w:eastAsia="zh-CN" w:bidi="ar"/>
              </w:rPr>
              <w:t>：满分100分。</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七、最终成绩</w:t>
            </w:r>
            <w:r>
              <w:rPr>
                <w:rFonts w:hint="eastAsia" w:ascii="宋体" w:hAnsi="宋体" w:eastAsia="宋体" w:cs="宋体"/>
                <w:i w:val="0"/>
                <w:caps w:val="0"/>
                <w:color w:val="575757"/>
                <w:spacing w:val="0"/>
                <w:kern w:val="0"/>
                <w:sz w:val="18"/>
                <w:szCs w:val="18"/>
                <w:u w:val="none"/>
                <w:bdr w:val="none" w:color="auto" w:sz="0" w:space="0"/>
                <w:lang w:val="en-US" w:eastAsia="zh-CN" w:bidi="ar"/>
              </w:rPr>
              <w:t>：满分100分，复试成绩占比50%，即最终成绩=（初试成绩÷5+复试成绩）÷2。</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八、录取</w:t>
            </w:r>
            <w:r>
              <w:rPr>
                <w:rFonts w:hint="eastAsia" w:ascii="宋体" w:hAnsi="宋体" w:eastAsia="宋体" w:cs="宋体"/>
                <w:i w:val="0"/>
                <w:caps w:val="0"/>
                <w:color w:val="575757"/>
                <w:spacing w:val="0"/>
                <w:kern w:val="0"/>
                <w:sz w:val="18"/>
                <w:szCs w:val="18"/>
                <w:u w:val="none"/>
                <w:bdr w:val="none" w:color="auto" w:sz="0" w:space="0"/>
                <w:lang w:val="en-US" w:eastAsia="zh-CN" w:bidi="ar"/>
              </w:rPr>
              <w:t>：按最终成绩由高到低排序，提出拟录取名单报批。为保证招生质量，报批人数可小于招生计划。</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九、调剂</w:t>
            </w:r>
            <w:r>
              <w:rPr>
                <w:rFonts w:hint="eastAsia" w:ascii="宋体" w:hAnsi="宋体" w:eastAsia="宋体" w:cs="宋体"/>
                <w:i w:val="0"/>
                <w:caps w:val="0"/>
                <w:color w:val="575757"/>
                <w:spacing w:val="0"/>
                <w:kern w:val="0"/>
                <w:sz w:val="18"/>
                <w:szCs w:val="18"/>
                <w:u w:val="none"/>
                <w:bdr w:val="none" w:color="auto" w:sz="0" w:space="0"/>
                <w:lang w:val="en-US" w:eastAsia="zh-CN" w:bidi="ar"/>
              </w:rPr>
              <w:t>：本专业在生源不足的情况下接受调剂。调剂信息将于复试阶段在中国科大研究生招生在线网站（http://yz.ustc.edu.cn）发布。</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十、学费标准：</w:t>
            </w:r>
            <w:r>
              <w:rPr>
                <w:rFonts w:hint="eastAsia" w:ascii="宋体" w:hAnsi="宋体" w:eastAsia="宋体" w:cs="宋体"/>
                <w:i w:val="0"/>
                <w:caps w:val="0"/>
                <w:color w:val="575757"/>
                <w:spacing w:val="0"/>
                <w:kern w:val="0"/>
                <w:sz w:val="18"/>
                <w:szCs w:val="18"/>
                <w:u w:val="none"/>
                <w:bdr w:val="none" w:color="auto" w:sz="0" w:space="0"/>
                <w:lang w:val="en-US" w:eastAsia="zh-CN" w:bidi="ar"/>
              </w:rPr>
              <w:t>8000元/学年。</w:t>
            </w:r>
          </w:p>
        </w:tc>
      </w:tr>
    </w:tbl>
    <w:p>
      <w:pPr>
        <w:rPr>
          <w:rFonts w:hint="eastAsia"/>
        </w:rPr>
      </w:pPr>
    </w:p>
    <w:p>
      <w:pPr>
        <w:rPr>
          <w:rFonts w:hint="eastAsia"/>
        </w:rPr>
      </w:pPr>
    </w:p>
    <w:tbl>
      <w:tblPr>
        <w:tblW w:w="11100" w:type="dxa"/>
        <w:tblCellSpacing w:w="0" w:type="dxa"/>
        <w:tblInd w:w="0" w:type="dxa"/>
        <w:shd w:val="clear" w:color="auto" w:fill="FFFFFF"/>
        <w:tblLayout w:type="autofit"/>
        <w:tblCellMar>
          <w:top w:w="0" w:type="dxa"/>
          <w:left w:w="0" w:type="dxa"/>
          <w:bottom w:w="0" w:type="dxa"/>
          <w:right w:w="0" w:type="dxa"/>
        </w:tblCellMar>
      </w:tblPr>
      <w:tblGrid>
        <w:gridCol w:w="11100"/>
      </w:tblGrid>
      <w:tr>
        <w:tblPrEx>
          <w:shd w:val="clear" w:color="auto" w:fill="FFFFFF"/>
        </w:tblPrEx>
        <w:trPr>
          <w:tblCellSpacing w:w="0" w:type="dxa"/>
        </w:trPr>
        <w:tc>
          <w:tcPr>
            <w:tcW w:w="0" w:type="auto"/>
            <w:shd w:val="clear" w:color="auto" w:fill="FFFFFF"/>
            <w:vAlign w:val="center"/>
          </w:tcPr>
          <w:tbl>
            <w:tblPr>
              <w:tblW w:w="11100" w:type="dxa"/>
              <w:jc w:val="center"/>
              <w:tblCellSpacing w:w="15" w:type="dxa"/>
              <w:shd w:val="clear"/>
              <w:tblLayout w:type="autofit"/>
              <w:tblCellMar>
                <w:top w:w="0" w:type="dxa"/>
                <w:left w:w="0" w:type="dxa"/>
                <w:bottom w:w="0" w:type="dxa"/>
                <w:right w:w="0" w:type="dxa"/>
              </w:tblCellMar>
            </w:tblPr>
            <w:tblGrid>
              <w:gridCol w:w="3227"/>
              <w:gridCol w:w="1013"/>
              <w:gridCol w:w="1434"/>
              <w:gridCol w:w="2526"/>
              <w:gridCol w:w="2900"/>
            </w:tblGrid>
            <w:tr>
              <w:tblPrEx>
                <w:shd w:val="clear"/>
                <w:tblCellMar>
                  <w:top w:w="0" w:type="dxa"/>
                  <w:left w:w="0" w:type="dxa"/>
                  <w:bottom w:w="0" w:type="dxa"/>
                  <w:right w:w="0" w:type="dxa"/>
                </w:tblCellMar>
              </w:tblPrEx>
              <w:trPr>
                <w:trHeight w:val="450" w:hRule="atLeast"/>
                <w:tblCellSpacing w:w="15" w:type="dxa"/>
                <w:jc w:val="center"/>
              </w:trPr>
              <w:tc>
                <w:tcPr>
                  <w:tcW w:w="0" w:type="auto"/>
                  <w:gridSpan w:val="5"/>
                  <w:shd w:val="clear" w:color="auto" w:fill="DEF1FB"/>
                  <w:tcMar>
                    <w:left w:w="150" w:type="dxa"/>
                  </w:tcMar>
                  <w:vAlign w:val="center"/>
                </w:tcPr>
                <w:p>
                  <w:pPr>
                    <w:keepNext w:val="0"/>
                    <w:keepLines w:val="0"/>
                    <w:widowControl/>
                    <w:suppressLineNumbers w:val="0"/>
                    <w:shd w:val="clear" w:fill="DEF1FB"/>
                    <w:spacing w:line="330" w:lineRule="atLeast"/>
                    <w:jc w:val="left"/>
                    <w:rPr>
                      <w:rFonts w:hint="eastAsia" w:ascii="宋体" w:hAnsi="宋体" w:eastAsia="宋体" w:cs="宋体"/>
                      <w:b/>
                      <w:i w:val="0"/>
                      <w:color w:val="666666"/>
                      <w:sz w:val="18"/>
                      <w:szCs w:val="18"/>
                      <w:u w:val="none"/>
                    </w:rPr>
                  </w:pPr>
                  <w:r>
                    <w:rPr>
                      <w:rFonts w:hint="eastAsia" w:ascii="宋体" w:hAnsi="宋体" w:eastAsia="宋体" w:cs="宋体"/>
                      <w:b/>
                      <w:i w:val="0"/>
                      <w:color w:val="666666"/>
                      <w:kern w:val="0"/>
                      <w:sz w:val="18"/>
                      <w:szCs w:val="18"/>
                      <w:u w:val="none"/>
                      <w:bdr w:val="none" w:color="auto" w:sz="0" w:space="0"/>
                      <w:lang w:val="en-US" w:eastAsia="zh-CN" w:bidi="ar"/>
                    </w:rPr>
                    <w:t>学科专业名称：物理学</w:t>
                  </w:r>
                  <w:r>
                    <w:rPr>
                      <w:rFonts w:hint="eastAsia" w:ascii="宋体" w:hAnsi="宋体" w:eastAsia="宋体" w:cs="宋体"/>
                      <w:b/>
                      <w:i w:val="0"/>
                      <w:color w:val="003399"/>
                      <w:kern w:val="0"/>
                      <w:sz w:val="18"/>
                      <w:szCs w:val="18"/>
                      <w:u w:val="none"/>
                      <w:bdr w:val="none" w:color="auto" w:sz="0" w:space="0"/>
                      <w:lang w:val="en-US" w:eastAsia="zh-CN" w:bidi="ar"/>
                    </w:rPr>
                    <w:t>（专业代码</w:t>
                  </w:r>
                  <w:r>
                    <w:rPr>
                      <w:rStyle w:val="4"/>
                      <w:rFonts w:hint="eastAsia" w:ascii="宋体" w:hAnsi="宋体" w:eastAsia="宋体" w:cs="宋体"/>
                      <w:i w:val="0"/>
                      <w:color w:val="003399"/>
                      <w:kern w:val="0"/>
                      <w:sz w:val="18"/>
                      <w:szCs w:val="18"/>
                      <w:u w:val="none"/>
                      <w:bdr w:val="none" w:color="auto" w:sz="0" w:space="0"/>
                      <w:lang w:val="en-US" w:eastAsia="zh-CN" w:bidi="ar"/>
                    </w:rPr>
                    <w:t>070200）</w:t>
                  </w:r>
                </w:p>
              </w:tc>
            </w:tr>
            <w:tr>
              <w:tblPrEx>
                <w:shd w:val="clear"/>
                <w:tblCellMar>
                  <w:top w:w="0" w:type="dxa"/>
                  <w:left w:w="0" w:type="dxa"/>
                  <w:bottom w:w="0" w:type="dxa"/>
                  <w:right w:w="0" w:type="dxa"/>
                </w:tblCellMar>
              </w:tblPrEx>
              <w:trPr>
                <w:trHeight w:val="30" w:hRule="atLeast"/>
                <w:tblCellSpacing w:w="15" w:type="dxa"/>
                <w:jc w:val="center"/>
              </w:trPr>
              <w:tc>
                <w:tcPr>
                  <w:tcW w:w="3060" w:type="dxa"/>
                  <w:shd w:val="clear"/>
                  <w:vAlign w:val="center"/>
                </w:tcPr>
                <w:p>
                  <w:pPr>
                    <w:rPr>
                      <w:rFonts w:hint="eastAsia" w:ascii="宋体"/>
                      <w:sz w:val="24"/>
                      <w:szCs w:val="24"/>
                    </w:rPr>
                  </w:pPr>
                </w:p>
              </w:tc>
              <w:tc>
                <w:tcPr>
                  <w:tcW w:w="945" w:type="dxa"/>
                  <w:shd w:val="clear"/>
                  <w:vAlign w:val="center"/>
                </w:tcPr>
                <w:p>
                  <w:pPr>
                    <w:rPr>
                      <w:rFonts w:hint="eastAsia" w:ascii="宋体"/>
                      <w:sz w:val="24"/>
                      <w:szCs w:val="24"/>
                    </w:rPr>
                  </w:pPr>
                </w:p>
              </w:tc>
              <w:tc>
                <w:tcPr>
                  <w:tcW w:w="1350" w:type="dxa"/>
                  <w:shd w:val="clear"/>
                  <w:vAlign w:val="center"/>
                </w:tcPr>
                <w:p>
                  <w:pPr>
                    <w:rPr>
                      <w:rFonts w:hint="eastAsia" w:ascii="宋体"/>
                      <w:sz w:val="24"/>
                      <w:szCs w:val="24"/>
                    </w:rPr>
                  </w:pPr>
                </w:p>
              </w:tc>
              <w:tc>
                <w:tcPr>
                  <w:tcW w:w="2400" w:type="dxa"/>
                  <w:shd w:val="clear"/>
                  <w:vAlign w:val="center"/>
                </w:tcPr>
                <w:p>
                  <w:pPr>
                    <w:rPr>
                      <w:rFonts w:hint="eastAsia" w:ascii="宋体"/>
                      <w:sz w:val="24"/>
                      <w:szCs w:val="24"/>
                    </w:rPr>
                  </w:pPr>
                </w:p>
              </w:tc>
              <w:tc>
                <w:tcPr>
                  <w:tcW w:w="2745" w:type="dxa"/>
                  <w:shd w:val="clear"/>
                  <w:vAlign w:val="center"/>
                </w:tcPr>
                <w:p>
                  <w:pPr>
                    <w:rPr>
                      <w:rFonts w:hint="eastAsia" w:ascii="宋体"/>
                      <w:sz w:val="24"/>
                      <w:szCs w:val="24"/>
                    </w:rPr>
                  </w:pPr>
                </w:p>
              </w:tc>
            </w:tr>
          </w:tbl>
          <w:p>
            <w:pPr>
              <w:rPr>
                <w:rFonts w:ascii="微软雅黑" w:hAnsi="微软雅黑" w:eastAsia="微软雅黑" w:cs="微软雅黑"/>
                <w:i w:val="0"/>
                <w:caps w:val="0"/>
                <w:color w:val="000000"/>
                <w:spacing w:val="0"/>
                <w:sz w:val="27"/>
                <w:szCs w:val="27"/>
              </w:rPr>
            </w:pPr>
          </w:p>
        </w:tc>
      </w:tr>
      <w:tr>
        <w:tblPrEx>
          <w:shd w:val="clear" w:color="auto" w:fill="FFFFFF"/>
          <w:tblCellMar>
            <w:top w:w="0" w:type="dxa"/>
            <w:left w:w="0" w:type="dxa"/>
            <w:bottom w:w="0" w:type="dxa"/>
            <w:right w:w="0" w:type="dxa"/>
          </w:tblCellMar>
        </w:tblPrEx>
        <w:trPr>
          <w:tblCellSpacing w:w="0" w:type="dxa"/>
        </w:trPr>
        <w:tc>
          <w:tcPr>
            <w:tcW w:w="0" w:type="auto"/>
            <w:shd w:val="clear" w:color="auto" w:fill="FFFFFF"/>
            <w:tcMar>
              <w:top w:w="225" w:type="dxa"/>
              <w:left w:w="75" w:type="dxa"/>
              <w:bottom w:w="225" w:type="dxa"/>
              <w:right w:w="75" w:type="dxa"/>
            </w:tcMar>
            <w:vAlign w:val="center"/>
          </w:tcPr>
          <w:p>
            <w:pPr>
              <w:keepNext w:val="0"/>
              <w:keepLines w:val="0"/>
              <w:widowControl/>
              <w:suppressLineNumbers w:val="0"/>
              <w:spacing w:line="330" w:lineRule="atLeast"/>
              <w:ind w:left="0" w:firstLine="0"/>
              <w:jc w:val="left"/>
              <w:rPr>
                <w:rFonts w:hint="eastAsia" w:ascii="宋体" w:hAnsi="宋体" w:eastAsia="宋体" w:cs="宋体"/>
                <w:i w:val="0"/>
                <w:caps w:val="0"/>
                <w:color w:val="575757"/>
                <w:spacing w:val="0"/>
                <w:sz w:val="18"/>
                <w:szCs w:val="18"/>
                <w:u w:val="none"/>
              </w:rPr>
            </w:pP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一、报考说明</w:t>
            </w:r>
            <w:r>
              <w:rPr>
                <w:rFonts w:hint="eastAsia" w:ascii="宋体" w:hAnsi="宋体" w:eastAsia="宋体" w:cs="宋体"/>
                <w:i w:val="0"/>
                <w:caps w:val="0"/>
                <w:color w:val="575757"/>
                <w:spacing w:val="0"/>
                <w:kern w:val="0"/>
                <w:sz w:val="18"/>
                <w:szCs w:val="18"/>
                <w:u w:val="none"/>
                <w:bdr w:val="none" w:color="auto" w:sz="0" w:space="0"/>
                <w:lang w:val="en-US" w:eastAsia="zh-CN" w:bidi="ar"/>
              </w:rPr>
              <w:t>：</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接收推免生及统考生。</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二、专业介绍</w:t>
            </w:r>
            <w:r>
              <w:rPr>
                <w:rFonts w:hint="eastAsia" w:ascii="宋体" w:hAnsi="宋体" w:eastAsia="宋体" w:cs="宋体"/>
                <w:i w:val="0"/>
                <w:caps w:val="0"/>
                <w:color w:val="575757"/>
                <w:spacing w:val="0"/>
                <w:kern w:val="0"/>
                <w:sz w:val="18"/>
                <w:szCs w:val="18"/>
                <w:u w:val="none"/>
                <w:bdr w:val="none" w:color="auto" w:sz="0" w:space="0"/>
                <w:lang w:val="en-US" w:eastAsia="zh-CN" w:bidi="ar"/>
              </w:rPr>
              <w:t>：</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国家同步辐射实验室是我国批准建设的第一个国家级实验室、国内高校中唯一一台大科学装置和国家级实验研究平台。由于同步辐射光源具有亮度高、频谱宽、准直性好、偏振度高以及脉冲时间结构等优异特性，在生命科学、材料科学、信息科学、新能源与环境科学、原子分子物理、化学、地学、医学、药学、计量学、纳米/微米加工和微机械等许多学科领域都具有广泛的应用。同步辐射光源已成为前沿交叉研究领域取得重大突破的不可或缺的重要支撑，是国家经济发展、国家安全和社会进步的重要科技基础设施。欢迎物理、化学、材料等专业优秀学生加入我实验室研究团队。</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物理学一级学科为国家一级重点学科，该学科以培养从事前沿和交叉科学的基础研究、应用研究和研制开发的领军人才为目标，注重对学生的物理素质和创新精神的培养。本专业培养的硕士博士毕业生具有扎实的基础理论知识和强的实验技能，具有独立从事科学研究的能力。主要毕业去向是进入高等院校、科研院所从事教学和科研工作，或出国攻读博士后和博士学位等。</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我实验室以物理学一级学科招收的研究生主要从事凝聚态物理方向的研究，主要研究方向包括：强关联体系与低温物理；纳米材料与物理；功能薄膜与器件物理。</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三、研究方向及初试科目</w:t>
            </w:r>
            <w:r>
              <w:rPr>
                <w:rFonts w:hint="eastAsia" w:ascii="宋体" w:hAnsi="宋体" w:eastAsia="宋体" w:cs="宋体"/>
                <w:i w:val="0"/>
                <w:caps w:val="0"/>
                <w:color w:val="575757"/>
                <w:spacing w:val="0"/>
                <w:kern w:val="0"/>
                <w:sz w:val="18"/>
                <w:szCs w:val="18"/>
                <w:u w:val="none"/>
                <w:bdr w:val="none" w:color="auto" w:sz="0" w:space="0"/>
                <w:lang w:val="en-US" w:eastAsia="zh-CN" w:bidi="ar"/>
              </w:rPr>
              <w:t>：</w:t>
            </w:r>
          </w:p>
          <w:tbl>
            <w:tblPr>
              <w:tblW w:w="5000" w:type="pct"/>
              <w:tblCellSpacing w:w="7" w:type="dxa"/>
              <w:tblInd w:w="0" w:type="dxa"/>
              <w:shd w:val="clear" w:color="auto" w:fill="CCCCCC"/>
              <w:tblLayout w:type="autofit"/>
              <w:tblCellMar>
                <w:top w:w="0" w:type="dxa"/>
                <w:left w:w="0" w:type="dxa"/>
                <w:bottom w:w="0" w:type="dxa"/>
                <w:right w:w="0" w:type="dxa"/>
              </w:tblCellMar>
            </w:tblPr>
            <w:tblGrid>
              <w:gridCol w:w="5089"/>
              <w:gridCol w:w="5861"/>
            </w:tblGrid>
            <w:tr>
              <w:tblPrEx>
                <w:tblCellMar>
                  <w:top w:w="0" w:type="dxa"/>
                  <w:left w:w="0" w:type="dxa"/>
                  <w:bottom w:w="0" w:type="dxa"/>
                  <w:right w:w="0" w:type="dxa"/>
                </w:tblCellMar>
              </w:tblPrEx>
              <w:trPr>
                <w:tblCellSpacing w:w="7" w:type="dxa"/>
              </w:trPr>
              <w:tc>
                <w:tcPr>
                  <w:tcW w:w="2300" w:type="pct"/>
                  <w:shd w:val="clear" w:color="auto" w:fill="193F8A"/>
                  <w:tcMar>
                    <w:top w:w="45" w:type="dxa"/>
                    <w:left w:w="150" w:type="dxa"/>
                    <w:bottom w:w="45" w:type="dxa"/>
                  </w:tcMar>
                  <w:vAlign w:val="top"/>
                </w:tcPr>
                <w:p>
                  <w:pPr>
                    <w:keepNext w:val="0"/>
                    <w:keepLines w:val="0"/>
                    <w:widowControl/>
                    <w:suppressLineNumbers w:val="0"/>
                    <w:shd w:val="clear" w:fill="193F8A"/>
                    <w:spacing w:line="330" w:lineRule="atLeast"/>
                    <w:jc w:val="left"/>
                    <w:rPr>
                      <w:rFonts w:hint="eastAsia" w:ascii="宋体" w:hAnsi="宋体" w:eastAsia="宋体" w:cs="宋体"/>
                      <w:b/>
                      <w:i w:val="0"/>
                      <w:color w:val="FFFFFF"/>
                      <w:sz w:val="18"/>
                      <w:szCs w:val="18"/>
                      <w:u w:val="none"/>
                    </w:rPr>
                  </w:pPr>
                  <w:r>
                    <w:rPr>
                      <w:rStyle w:val="4"/>
                      <w:rFonts w:hint="eastAsia" w:ascii="宋体" w:hAnsi="宋体" w:eastAsia="宋体" w:cs="宋体"/>
                      <w:i w:val="0"/>
                      <w:color w:val="FFFFFF"/>
                      <w:kern w:val="0"/>
                      <w:sz w:val="18"/>
                      <w:szCs w:val="18"/>
                      <w:u w:val="none"/>
                      <w:bdr w:val="none" w:color="auto" w:sz="0" w:space="0"/>
                      <w:lang w:val="en-US" w:eastAsia="zh-CN" w:bidi="ar"/>
                    </w:rPr>
                    <w:t>研究方向</w:t>
                  </w:r>
                </w:p>
              </w:tc>
              <w:tc>
                <w:tcPr>
                  <w:tcW w:w="2650" w:type="pct"/>
                  <w:shd w:val="clear" w:color="auto" w:fill="193F8A"/>
                  <w:tcMar>
                    <w:top w:w="45" w:type="dxa"/>
                    <w:left w:w="150" w:type="dxa"/>
                    <w:bottom w:w="45" w:type="dxa"/>
                  </w:tcMar>
                  <w:vAlign w:val="top"/>
                </w:tcPr>
                <w:p>
                  <w:pPr>
                    <w:keepNext w:val="0"/>
                    <w:keepLines w:val="0"/>
                    <w:widowControl/>
                    <w:suppressLineNumbers w:val="0"/>
                    <w:shd w:val="clear" w:fill="193F8A"/>
                    <w:spacing w:line="330" w:lineRule="atLeast"/>
                    <w:jc w:val="left"/>
                    <w:rPr>
                      <w:rFonts w:hint="eastAsia" w:ascii="宋体" w:hAnsi="宋体" w:eastAsia="宋体" w:cs="宋体"/>
                      <w:b/>
                      <w:i w:val="0"/>
                      <w:color w:val="FFFFFF"/>
                      <w:sz w:val="18"/>
                      <w:szCs w:val="18"/>
                      <w:u w:val="none"/>
                    </w:rPr>
                  </w:pPr>
                  <w:r>
                    <w:rPr>
                      <w:rStyle w:val="4"/>
                      <w:rFonts w:hint="eastAsia" w:ascii="宋体" w:hAnsi="宋体" w:eastAsia="宋体" w:cs="宋体"/>
                      <w:i w:val="0"/>
                      <w:color w:val="FFFFFF"/>
                      <w:kern w:val="0"/>
                      <w:sz w:val="18"/>
                      <w:szCs w:val="18"/>
                      <w:u w:val="none"/>
                      <w:bdr w:val="none" w:color="auto" w:sz="0" w:space="0"/>
                      <w:lang w:val="en-US" w:eastAsia="zh-CN" w:bidi="ar"/>
                    </w:rPr>
                    <w:t>初试科目</w:t>
                  </w:r>
                </w:p>
              </w:tc>
            </w:tr>
            <w:tr>
              <w:tblPrEx>
                <w:shd w:val="clear" w:color="auto" w:fill="CCCCCC"/>
                <w:tblCellMar>
                  <w:top w:w="0" w:type="dxa"/>
                  <w:left w:w="0" w:type="dxa"/>
                  <w:bottom w:w="0" w:type="dxa"/>
                  <w:right w:w="0" w:type="dxa"/>
                </w:tblCellMar>
              </w:tblPrEx>
              <w:trPr>
                <w:tblCellSpacing w:w="7" w:type="dxa"/>
              </w:trPr>
              <w:tc>
                <w:tcPr>
                  <w:tcW w:w="23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jc w:val="left"/>
                    <w:rPr>
                      <w:rFonts w:hint="eastAsia" w:ascii="宋体" w:hAnsi="宋体" w:eastAsia="宋体" w:cs="宋体"/>
                      <w:i w:val="0"/>
                      <w:color w:val="003399"/>
                      <w:sz w:val="18"/>
                      <w:szCs w:val="18"/>
                      <w:u w:val="none"/>
                    </w:rPr>
                  </w:pPr>
                  <w:r>
                    <w:rPr>
                      <w:rFonts w:hint="eastAsia" w:ascii="宋体" w:hAnsi="宋体" w:eastAsia="宋体" w:cs="宋体"/>
                      <w:i w:val="0"/>
                      <w:color w:val="003399"/>
                      <w:kern w:val="0"/>
                      <w:sz w:val="18"/>
                      <w:szCs w:val="18"/>
                      <w:u w:val="none"/>
                      <w:bdr w:val="none" w:color="auto" w:sz="0" w:space="0"/>
                      <w:lang w:val="en-US" w:eastAsia="zh-CN" w:bidi="ar"/>
                    </w:rPr>
                    <w:t>1、凝聚态物理</w:t>
                  </w:r>
                </w:p>
              </w:tc>
              <w:tc>
                <w:tcPr>
                  <w:tcW w:w="26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jc w:val="left"/>
                    <w:rPr>
                      <w:rFonts w:hint="eastAsia" w:ascii="宋体" w:hAnsi="宋体" w:eastAsia="宋体" w:cs="宋体"/>
                      <w:i w:val="0"/>
                      <w:color w:val="003399"/>
                      <w:sz w:val="18"/>
                      <w:szCs w:val="18"/>
                      <w:u w:val="none"/>
                    </w:rPr>
                  </w:pPr>
                  <w:r>
                    <w:rPr>
                      <w:rFonts w:hint="eastAsia" w:ascii="宋体" w:hAnsi="宋体" w:eastAsia="宋体" w:cs="宋体"/>
                      <w:i w:val="0"/>
                      <w:color w:val="003399"/>
                      <w:kern w:val="0"/>
                      <w:sz w:val="18"/>
                      <w:szCs w:val="18"/>
                      <w:u w:val="none"/>
                      <w:bdr w:val="none" w:color="auto" w:sz="0" w:space="0"/>
                      <w:lang w:val="en-US" w:eastAsia="zh-CN" w:bidi="ar"/>
                    </w:rPr>
                    <w:t>101思想政治理论 </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201英语一 </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617普通物理A</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828量子力学</w:t>
                  </w:r>
                </w:p>
              </w:tc>
            </w:tr>
          </w:tbl>
          <w:p>
            <w:pPr>
              <w:keepNext w:val="0"/>
              <w:keepLines w:val="0"/>
              <w:widowControl/>
              <w:suppressLineNumbers w:val="0"/>
              <w:jc w:val="left"/>
            </w:pP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四、复试形式</w:t>
            </w:r>
            <w:r>
              <w:rPr>
                <w:rFonts w:hint="eastAsia" w:ascii="宋体" w:hAnsi="宋体" w:eastAsia="宋体" w:cs="宋体"/>
                <w:i w:val="0"/>
                <w:caps w:val="0"/>
                <w:color w:val="575757"/>
                <w:spacing w:val="0"/>
                <w:kern w:val="0"/>
                <w:sz w:val="18"/>
                <w:szCs w:val="18"/>
                <w:u w:val="none"/>
                <w:bdr w:val="none" w:color="auto" w:sz="0" w:space="0"/>
                <w:lang w:val="en-US" w:eastAsia="zh-CN" w:bidi="ar"/>
              </w:rPr>
              <w:t>：面试。</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五、复试内容</w:t>
            </w:r>
            <w:r>
              <w:rPr>
                <w:rFonts w:hint="eastAsia" w:ascii="宋体" w:hAnsi="宋体" w:eastAsia="宋体" w:cs="宋体"/>
                <w:i w:val="0"/>
                <w:caps w:val="0"/>
                <w:color w:val="575757"/>
                <w:spacing w:val="0"/>
                <w:kern w:val="0"/>
                <w:sz w:val="18"/>
                <w:szCs w:val="18"/>
                <w:u w:val="none"/>
                <w:bdr w:val="none" w:color="auto" w:sz="0" w:space="0"/>
                <w:lang w:val="en-US" w:eastAsia="zh-CN" w:bidi="ar"/>
              </w:rPr>
              <w:t>：</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专业素质考核：考察考生对本学科（专业）理论知识和应用技能掌握程度，特别是考察考生对本专业基本知识和基本概念的掌握和理解、对本学科发展动态的了解以及在本专业领域发展的潜力。</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综合素质考核：考察考生思想政治素质和道德品质、外语听说能力、本专业以外的学习、科研和社会实践或实际工作等方面的经历、个性心理特征、诚信状况、意志品质等。</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六、复试成绩</w:t>
            </w:r>
            <w:r>
              <w:rPr>
                <w:rFonts w:hint="eastAsia" w:ascii="宋体" w:hAnsi="宋体" w:eastAsia="宋体" w:cs="宋体"/>
                <w:i w:val="0"/>
                <w:caps w:val="0"/>
                <w:color w:val="575757"/>
                <w:spacing w:val="0"/>
                <w:kern w:val="0"/>
                <w:sz w:val="18"/>
                <w:szCs w:val="18"/>
                <w:u w:val="none"/>
                <w:bdr w:val="none" w:color="auto" w:sz="0" w:space="0"/>
                <w:lang w:val="en-US" w:eastAsia="zh-CN" w:bidi="ar"/>
              </w:rPr>
              <w:t>：满分100分。</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七、最终成绩</w:t>
            </w:r>
            <w:r>
              <w:rPr>
                <w:rFonts w:hint="eastAsia" w:ascii="宋体" w:hAnsi="宋体" w:eastAsia="宋体" w:cs="宋体"/>
                <w:i w:val="0"/>
                <w:caps w:val="0"/>
                <w:color w:val="575757"/>
                <w:spacing w:val="0"/>
                <w:kern w:val="0"/>
                <w:sz w:val="18"/>
                <w:szCs w:val="18"/>
                <w:u w:val="none"/>
                <w:bdr w:val="none" w:color="auto" w:sz="0" w:space="0"/>
                <w:lang w:val="en-US" w:eastAsia="zh-CN" w:bidi="ar"/>
              </w:rPr>
              <w:t>：满分100分，复试成绩占比50%，即最终成绩=（初试成绩÷5+复试成绩）÷2。</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八、录取</w:t>
            </w:r>
            <w:r>
              <w:rPr>
                <w:rFonts w:hint="eastAsia" w:ascii="宋体" w:hAnsi="宋体" w:eastAsia="宋体" w:cs="宋体"/>
                <w:i w:val="0"/>
                <w:caps w:val="0"/>
                <w:color w:val="575757"/>
                <w:spacing w:val="0"/>
                <w:kern w:val="0"/>
                <w:sz w:val="18"/>
                <w:szCs w:val="18"/>
                <w:u w:val="none"/>
                <w:bdr w:val="none" w:color="auto" w:sz="0" w:space="0"/>
                <w:lang w:val="en-US" w:eastAsia="zh-CN" w:bidi="ar"/>
              </w:rPr>
              <w:t>：按最终成绩由高到低排序，提出拟录取名单报批。为保证招生质量，报批人数可小于招生计划。</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九、调剂</w:t>
            </w:r>
            <w:r>
              <w:rPr>
                <w:rFonts w:hint="eastAsia" w:ascii="宋体" w:hAnsi="宋体" w:eastAsia="宋体" w:cs="宋体"/>
                <w:i w:val="0"/>
                <w:caps w:val="0"/>
                <w:color w:val="575757"/>
                <w:spacing w:val="0"/>
                <w:kern w:val="0"/>
                <w:sz w:val="18"/>
                <w:szCs w:val="18"/>
                <w:u w:val="none"/>
                <w:bdr w:val="none" w:color="auto" w:sz="0" w:space="0"/>
                <w:lang w:val="en-US" w:eastAsia="zh-CN" w:bidi="ar"/>
              </w:rPr>
              <w:t>：本专业在生源不足的情况下接受调剂。调剂信息将于复试阶段在中国科大研究生招生在线网站（http://yz.ustc.edu.cn）发布。</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十、学费标准：</w:t>
            </w:r>
            <w:r>
              <w:rPr>
                <w:rFonts w:hint="eastAsia" w:ascii="宋体" w:hAnsi="宋体" w:eastAsia="宋体" w:cs="宋体"/>
                <w:i w:val="0"/>
                <w:caps w:val="0"/>
                <w:color w:val="575757"/>
                <w:spacing w:val="0"/>
                <w:kern w:val="0"/>
                <w:sz w:val="18"/>
                <w:szCs w:val="18"/>
                <w:u w:val="none"/>
                <w:bdr w:val="none" w:color="auto" w:sz="0" w:space="0"/>
                <w:lang w:val="en-US" w:eastAsia="zh-CN" w:bidi="ar"/>
              </w:rPr>
              <w:t>8000元/学年。</w:t>
            </w:r>
          </w:p>
        </w:tc>
      </w:tr>
    </w:tbl>
    <w:p>
      <w:pPr>
        <w:rPr>
          <w:rFonts w:hint="eastAsia"/>
        </w:rPr>
      </w:pPr>
    </w:p>
    <w:p>
      <w:pPr>
        <w:rPr>
          <w:rFonts w:hint="eastAsia"/>
        </w:rPr>
      </w:pPr>
    </w:p>
    <w:tbl>
      <w:tblPr>
        <w:tblW w:w="11100" w:type="dxa"/>
        <w:tblCellSpacing w:w="0" w:type="dxa"/>
        <w:tblInd w:w="0" w:type="dxa"/>
        <w:shd w:val="clear" w:color="auto" w:fill="FFFFFF"/>
        <w:tblLayout w:type="autofit"/>
        <w:tblCellMar>
          <w:top w:w="0" w:type="dxa"/>
          <w:left w:w="0" w:type="dxa"/>
          <w:bottom w:w="0" w:type="dxa"/>
          <w:right w:w="0" w:type="dxa"/>
        </w:tblCellMar>
      </w:tblPr>
      <w:tblGrid>
        <w:gridCol w:w="11100"/>
      </w:tblGrid>
      <w:tr>
        <w:tblPrEx>
          <w:shd w:val="clear" w:color="auto" w:fill="FFFFFF"/>
          <w:tblCellMar>
            <w:top w:w="0" w:type="dxa"/>
            <w:left w:w="0" w:type="dxa"/>
            <w:bottom w:w="0" w:type="dxa"/>
            <w:right w:w="0" w:type="dxa"/>
          </w:tblCellMar>
        </w:tblPrEx>
        <w:trPr>
          <w:tblCellSpacing w:w="0" w:type="dxa"/>
        </w:trPr>
        <w:tc>
          <w:tcPr>
            <w:tcW w:w="0" w:type="auto"/>
            <w:shd w:val="clear" w:color="auto" w:fill="FFFFFF"/>
            <w:vAlign w:val="center"/>
          </w:tcPr>
          <w:tbl>
            <w:tblPr>
              <w:tblW w:w="11100" w:type="dxa"/>
              <w:jc w:val="center"/>
              <w:tblCellSpacing w:w="15" w:type="dxa"/>
              <w:shd w:val="clear"/>
              <w:tblLayout w:type="autofit"/>
              <w:tblCellMar>
                <w:top w:w="0" w:type="dxa"/>
                <w:left w:w="0" w:type="dxa"/>
                <w:bottom w:w="0" w:type="dxa"/>
                <w:right w:w="0" w:type="dxa"/>
              </w:tblCellMar>
            </w:tblPr>
            <w:tblGrid>
              <w:gridCol w:w="3227"/>
              <w:gridCol w:w="1013"/>
              <w:gridCol w:w="1434"/>
              <w:gridCol w:w="2526"/>
              <w:gridCol w:w="2900"/>
            </w:tblGrid>
            <w:tr>
              <w:tblPrEx>
                <w:shd w:val="clear"/>
                <w:tblCellMar>
                  <w:top w:w="0" w:type="dxa"/>
                  <w:left w:w="0" w:type="dxa"/>
                  <w:bottom w:w="0" w:type="dxa"/>
                  <w:right w:w="0" w:type="dxa"/>
                </w:tblCellMar>
              </w:tblPrEx>
              <w:trPr>
                <w:trHeight w:val="450" w:hRule="atLeast"/>
                <w:tblCellSpacing w:w="15" w:type="dxa"/>
                <w:jc w:val="center"/>
              </w:trPr>
              <w:tc>
                <w:tcPr>
                  <w:tcW w:w="0" w:type="auto"/>
                  <w:gridSpan w:val="5"/>
                  <w:shd w:val="clear" w:color="auto" w:fill="DEF1FB"/>
                  <w:tcMar>
                    <w:left w:w="150" w:type="dxa"/>
                  </w:tcMar>
                  <w:vAlign w:val="center"/>
                </w:tcPr>
                <w:p>
                  <w:pPr>
                    <w:keepNext w:val="0"/>
                    <w:keepLines w:val="0"/>
                    <w:widowControl/>
                    <w:suppressLineNumbers w:val="0"/>
                    <w:shd w:val="clear" w:fill="DEF1FB"/>
                    <w:spacing w:line="330" w:lineRule="atLeast"/>
                    <w:jc w:val="left"/>
                    <w:rPr>
                      <w:rFonts w:hint="eastAsia" w:ascii="宋体" w:hAnsi="宋体" w:eastAsia="宋体" w:cs="宋体"/>
                      <w:b/>
                      <w:i w:val="0"/>
                      <w:color w:val="666666"/>
                      <w:sz w:val="18"/>
                      <w:szCs w:val="18"/>
                      <w:u w:val="none"/>
                    </w:rPr>
                  </w:pPr>
                  <w:r>
                    <w:rPr>
                      <w:rFonts w:hint="eastAsia" w:ascii="宋体" w:hAnsi="宋体" w:eastAsia="宋体" w:cs="宋体"/>
                      <w:b/>
                      <w:i w:val="0"/>
                      <w:color w:val="666666"/>
                      <w:kern w:val="0"/>
                      <w:sz w:val="18"/>
                      <w:szCs w:val="18"/>
                      <w:u w:val="none"/>
                      <w:bdr w:val="none" w:color="auto" w:sz="0" w:space="0"/>
                      <w:lang w:val="en-US" w:eastAsia="zh-CN" w:bidi="ar"/>
                    </w:rPr>
                    <w:t>学科专业名称：化学</w:t>
                  </w:r>
                  <w:r>
                    <w:rPr>
                      <w:rFonts w:hint="eastAsia" w:ascii="宋体" w:hAnsi="宋体" w:eastAsia="宋体" w:cs="宋体"/>
                      <w:b/>
                      <w:i w:val="0"/>
                      <w:color w:val="003399"/>
                      <w:kern w:val="0"/>
                      <w:sz w:val="18"/>
                      <w:szCs w:val="18"/>
                      <w:u w:val="none"/>
                      <w:bdr w:val="none" w:color="auto" w:sz="0" w:space="0"/>
                      <w:lang w:val="en-US" w:eastAsia="zh-CN" w:bidi="ar"/>
                    </w:rPr>
                    <w:t>（专业代码</w:t>
                  </w:r>
                  <w:r>
                    <w:rPr>
                      <w:rStyle w:val="4"/>
                      <w:rFonts w:hint="eastAsia" w:ascii="宋体" w:hAnsi="宋体" w:eastAsia="宋体" w:cs="宋体"/>
                      <w:i w:val="0"/>
                      <w:color w:val="003399"/>
                      <w:kern w:val="0"/>
                      <w:sz w:val="18"/>
                      <w:szCs w:val="18"/>
                      <w:u w:val="none"/>
                      <w:bdr w:val="none" w:color="auto" w:sz="0" w:space="0"/>
                      <w:lang w:val="en-US" w:eastAsia="zh-CN" w:bidi="ar"/>
                    </w:rPr>
                    <w:t>070300）</w:t>
                  </w:r>
                </w:p>
              </w:tc>
            </w:tr>
            <w:tr>
              <w:tblPrEx>
                <w:tblCellMar>
                  <w:top w:w="0" w:type="dxa"/>
                  <w:left w:w="0" w:type="dxa"/>
                  <w:bottom w:w="0" w:type="dxa"/>
                  <w:right w:w="0" w:type="dxa"/>
                </w:tblCellMar>
              </w:tblPrEx>
              <w:trPr>
                <w:trHeight w:val="30" w:hRule="atLeast"/>
                <w:tblCellSpacing w:w="15" w:type="dxa"/>
                <w:jc w:val="center"/>
              </w:trPr>
              <w:tc>
                <w:tcPr>
                  <w:tcW w:w="3060" w:type="dxa"/>
                  <w:shd w:val="clear"/>
                  <w:vAlign w:val="center"/>
                </w:tcPr>
                <w:p>
                  <w:pPr>
                    <w:rPr>
                      <w:rFonts w:hint="eastAsia" w:ascii="宋体"/>
                      <w:sz w:val="24"/>
                      <w:szCs w:val="24"/>
                    </w:rPr>
                  </w:pPr>
                </w:p>
              </w:tc>
              <w:tc>
                <w:tcPr>
                  <w:tcW w:w="945" w:type="dxa"/>
                  <w:shd w:val="clear"/>
                  <w:vAlign w:val="center"/>
                </w:tcPr>
                <w:p>
                  <w:pPr>
                    <w:rPr>
                      <w:rFonts w:hint="eastAsia" w:ascii="宋体"/>
                      <w:sz w:val="24"/>
                      <w:szCs w:val="24"/>
                    </w:rPr>
                  </w:pPr>
                </w:p>
              </w:tc>
              <w:tc>
                <w:tcPr>
                  <w:tcW w:w="1350" w:type="dxa"/>
                  <w:shd w:val="clear"/>
                  <w:vAlign w:val="center"/>
                </w:tcPr>
                <w:p>
                  <w:pPr>
                    <w:rPr>
                      <w:rFonts w:hint="eastAsia" w:ascii="宋体"/>
                      <w:sz w:val="24"/>
                      <w:szCs w:val="24"/>
                    </w:rPr>
                  </w:pPr>
                </w:p>
              </w:tc>
              <w:tc>
                <w:tcPr>
                  <w:tcW w:w="2400" w:type="dxa"/>
                  <w:shd w:val="clear"/>
                  <w:vAlign w:val="center"/>
                </w:tcPr>
                <w:p>
                  <w:pPr>
                    <w:rPr>
                      <w:rFonts w:hint="eastAsia" w:ascii="宋体"/>
                      <w:sz w:val="24"/>
                      <w:szCs w:val="24"/>
                    </w:rPr>
                  </w:pPr>
                </w:p>
              </w:tc>
              <w:tc>
                <w:tcPr>
                  <w:tcW w:w="2745" w:type="dxa"/>
                  <w:shd w:val="clear"/>
                  <w:vAlign w:val="center"/>
                </w:tcPr>
                <w:p>
                  <w:pPr>
                    <w:rPr>
                      <w:rFonts w:hint="eastAsia" w:ascii="宋体"/>
                      <w:sz w:val="24"/>
                      <w:szCs w:val="24"/>
                    </w:rPr>
                  </w:pPr>
                </w:p>
              </w:tc>
            </w:tr>
          </w:tbl>
          <w:p>
            <w:pPr>
              <w:rPr>
                <w:rFonts w:ascii="微软雅黑" w:hAnsi="微软雅黑" w:eastAsia="微软雅黑" w:cs="微软雅黑"/>
                <w:i w:val="0"/>
                <w:caps w:val="0"/>
                <w:color w:val="000000"/>
                <w:spacing w:val="0"/>
                <w:sz w:val="27"/>
                <w:szCs w:val="27"/>
              </w:rPr>
            </w:pPr>
          </w:p>
        </w:tc>
      </w:tr>
      <w:tr>
        <w:tblPrEx>
          <w:tblCellMar>
            <w:top w:w="0" w:type="dxa"/>
            <w:left w:w="0" w:type="dxa"/>
            <w:bottom w:w="0" w:type="dxa"/>
            <w:right w:w="0" w:type="dxa"/>
          </w:tblCellMar>
        </w:tblPrEx>
        <w:trPr>
          <w:tblCellSpacing w:w="0" w:type="dxa"/>
        </w:trPr>
        <w:tc>
          <w:tcPr>
            <w:tcW w:w="0" w:type="auto"/>
            <w:shd w:val="clear" w:color="auto" w:fill="FFFFFF"/>
            <w:tcMar>
              <w:top w:w="225" w:type="dxa"/>
              <w:left w:w="75" w:type="dxa"/>
              <w:bottom w:w="225" w:type="dxa"/>
              <w:right w:w="75" w:type="dxa"/>
            </w:tcMar>
            <w:vAlign w:val="center"/>
          </w:tcPr>
          <w:p>
            <w:pPr>
              <w:keepNext w:val="0"/>
              <w:keepLines w:val="0"/>
              <w:widowControl/>
              <w:suppressLineNumbers w:val="0"/>
              <w:spacing w:line="330" w:lineRule="atLeast"/>
              <w:ind w:left="0" w:firstLine="0"/>
              <w:jc w:val="left"/>
              <w:rPr>
                <w:rFonts w:hint="eastAsia" w:ascii="宋体" w:hAnsi="宋体" w:eastAsia="宋体" w:cs="宋体"/>
                <w:i w:val="0"/>
                <w:caps w:val="0"/>
                <w:color w:val="575757"/>
                <w:spacing w:val="0"/>
                <w:sz w:val="18"/>
                <w:szCs w:val="18"/>
                <w:u w:val="none"/>
              </w:rPr>
            </w:pP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一、报考说明</w:t>
            </w:r>
            <w:r>
              <w:rPr>
                <w:rFonts w:hint="eastAsia" w:ascii="宋体" w:hAnsi="宋体" w:eastAsia="宋体" w:cs="宋体"/>
                <w:i w:val="0"/>
                <w:caps w:val="0"/>
                <w:color w:val="575757"/>
                <w:spacing w:val="0"/>
                <w:kern w:val="0"/>
                <w:sz w:val="18"/>
                <w:szCs w:val="18"/>
                <w:u w:val="none"/>
                <w:bdr w:val="none" w:color="auto" w:sz="0" w:space="0"/>
                <w:lang w:val="en-US" w:eastAsia="zh-CN" w:bidi="ar"/>
              </w:rPr>
              <w:t>：</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接收推免生及统考生。</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二、专业介绍</w:t>
            </w:r>
            <w:r>
              <w:rPr>
                <w:rFonts w:hint="eastAsia" w:ascii="宋体" w:hAnsi="宋体" w:eastAsia="宋体" w:cs="宋体"/>
                <w:i w:val="0"/>
                <w:caps w:val="0"/>
                <w:color w:val="575757"/>
                <w:spacing w:val="0"/>
                <w:kern w:val="0"/>
                <w:sz w:val="18"/>
                <w:szCs w:val="18"/>
                <w:u w:val="none"/>
                <w:bdr w:val="none" w:color="auto" w:sz="0" w:space="0"/>
                <w:lang w:val="en-US" w:eastAsia="zh-CN" w:bidi="ar"/>
              </w:rPr>
              <w:t>：</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国家同步辐射实验室是我国批准建设的第一个国家级实验室、国内高校中唯一一台大科学装置和国家级实验研究平台。由于同步辐射光源具有亮度高、频谱宽、准直性好、偏振度高以及脉冲时间结构等优异特性，在生命科学、材料科学、信息科学、新能源与环境科学、原子分子物理、化学、地学、医学、药学、计量学、纳米/微米加工和微机械等许多学科领域都具有广泛的应用。同步辐射光源已成为前沿交叉研究领域取得重大突破的不可或缺的重要支撑，是国家经济发展、国家安全和社会进步的重要科技基础设施。欢迎物理、化学、材料等专业优秀学生加入我实验室研究团队。</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化学学科是国家一级重点学科，设一级学科博士、硕士学位授权点。本学科以培养从事前沿和交叉科学的基础研究、应用研究的领军人才为目标，注重对学生的综合素质和创新精神的培养。本专业培养的硕士博士毕业生具有扎实的基础理论知识和强的实验技能，具有独立从事科学研究的能力。主要毕业去向是进入高等院校、科研院所从事教学和科研工作，或出国攻读博士后和博士学位等。</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该专业研究方向有：无机化学、物理化学(含化学物理)、高分子化学与物理、纳米化学。</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三、研究方向及初试科目</w:t>
            </w:r>
            <w:r>
              <w:rPr>
                <w:rFonts w:hint="eastAsia" w:ascii="宋体" w:hAnsi="宋体" w:eastAsia="宋体" w:cs="宋体"/>
                <w:i w:val="0"/>
                <w:caps w:val="0"/>
                <w:color w:val="575757"/>
                <w:spacing w:val="0"/>
                <w:kern w:val="0"/>
                <w:sz w:val="18"/>
                <w:szCs w:val="18"/>
                <w:u w:val="none"/>
                <w:bdr w:val="none" w:color="auto" w:sz="0" w:space="0"/>
                <w:lang w:val="en-US" w:eastAsia="zh-CN" w:bidi="ar"/>
              </w:rPr>
              <w:t>：</w:t>
            </w:r>
          </w:p>
          <w:tbl>
            <w:tblPr>
              <w:tblW w:w="5000" w:type="pct"/>
              <w:tblCellSpacing w:w="7" w:type="dxa"/>
              <w:tblInd w:w="0" w:type="dxa"/>
              <w:shd w:val="clear" w:color="auto" w:fill="CCCCCC"/>
              <w:tblLayout w:type="autofit"/>
              <w:tblCellMar>
                <w:top w:w="0" w:type="dxa"/>
                <w:left w:w="0" w:type="dxa"/>
                <w:bottom w:w="0" w:type="dxa"/>
                <w:right w:w="0" w:type="dxa"/>
              </w:tblCellMar>
            </w:tblPr>
            <w:tblGrid>
              <w:gridCol w:w="2004"/>
              <w:gridCol w:w="8946"/>
            </w:tblGrid>
            <w:tr>
              <w:tblPrEx>
                <w:shd w:val="clear" w:color="auto" w:fill="CCCCCC"/>
                <w:tblCellMar>
                  <w:top w:w="0" w:type="dxa"/>
                  <w:left w:w="0" w:type="dxa"/>
                  <w:bottom w:w="0" w:type="dxa"/>
                  <w:right w:w="0" w:type="dxa"/>
                </w:tblCellMar>
              </w:tblPrEx>
              <w:trPr>
                <w:tblCellSpacing w:w="7" w:type="dxa"/>
              </w:trPr>
              <w:tc>
                <w:tcPr>
                  <w:tcW w:w="900" w:type="pct"/>
                  <w:shd w:val="clear" w:color="auto" w:fill="193F8A"/>
                  <w:tcMar>
                    <w:top w:w="45" w:type="dxa"/>
                    <w:left w:w="150" w:type="dxa"/>
                    <w:bottom w:w="45" w:type="dxa"/>
                  </w:tcMar>
                  <w:vAlign w:val="top"/>
                </w:tcPr>
                <w:p>
                  <w:pPr>
                    <w:keepNext w:val="0"/>
                    <w:keepLines w:val="0"/>
                    <w:widowControl/>
                    <w:suppressLineNumbers w:val="0"/>
                    <w:shd w:val="clear" w:fill="193F8A"/>
                    <w:spacing w:line="330" w:lineRule="atLeast"/>
                    <w:jc w:val="left"/>
                    <w:rPr>
                      <w:rFonts w:hint="eastAsia" w:ascii="宋体" w:hAnsi="宋体" w:eastAsia="宋体" w:cs="宋体"/>
                      <w:b/>
                      <w:i w:val="0"/>
                      <w:color w:val="FFFFFF"/>
                      <w:sz w:val="18"/>
                      <w:szCs w:val="18"/>
                      <w:u w:val="none"/>
                    </w:rPr>
                  </w:pPr>
                  <w:r>
                    <w:rPr>
                      <w:rStyle w:val="4"/>
                      <w:rFonts w:hint="eastAsia" w:ascii="宋体" w:hAnsi="宋体" w:eastAsia="宋体" w:cs="宋体"/>
                      <w:i w:val="0"/>
                      <w:color w:val="FFFFFF"/>
                      <w:kern w:val="0"/>
                      <w:sz w:val="18"/>
                      <w:szCs w:val="18"/>
                      <w:u w:val="none"/>
                      <w:bdr w:val="none" w:color="auto" w:sz="0" w:space="0"/>
                      <w:lang w:val="en-US" w:eastAsia="zh-CN" w:bidi="ar"/>
                    </w:rPr>
                    <w:t>研究方向</w:t>
                  </w:r>
                </w:p>
              </w:tc>
              <w:tc>
                <w:tcPr>
                  <w:tcW w:w="4050" w:type="pct"/>
                  <w:shd w:val="clear" w:color="auto" w:fill="193F8A"/>
                  <w:tcMar>
                    <w:top w:w="45" w:type="dxa"/>
                    <w:left w:w="150" w:type="dxa"/>
                    <w:bottom w:w="45" w:type="dxa"/>
                  </w:tcMar>
                  <w:vAlign w:val="top"/>
                </w:tcPr>
                <w:p>
                  <w:pPr>
                    <w:keepNext w:val="0"/>
                    <w:keepLines w:val="0"/>
                    <w:widowControl/>
                    <w:suppressLineNumbers w:val="0"/>
                    <w:shd w:val="clear" w:fill="193F8A"/>
                    <w:spacing w:line="330" w:lineRule="atLeast"/>
                    <w:jc w:val="left"/>
                    <w:rPr>
                      <w:rFonts w:hint="eastAsia" w:ascii="宋体" w:hAnsi="宋体" w:eastAsia="宋体" w:cs="宋体"/>
                      <w:b/>
                      <w:i w:val="0"/>
                      <w:color w:val="FFFFFF"/>
                      <w:sz w:val="18"/>
                      <w:szCs w:val="18"/>
                      <w:u w:val="none"/>
                    </w:rPr>
                  </w:pPr>
                  <w:r>
                    <w:rPr>
                      <w:rStyle w:val="4"/>
                      <w:rFonts w:hint="eastAsia" w:ascii="宋体" w:hAnsi="宋体" w:eastAsia="宋体" w:cs="宋体"/>
                      <w:i w:val="0"/>
                      <w:color w:val="FFFFFF"/>
                      <w:kern w:val="0"/>
                      <w:sz w:val="18"/>
                      <w:szCs w:val="18"/>
                      <w:u w:val="none"/>
                      <w:bdr w:val="none" w:color="auto" w:sz="0" w:space="0"/>
                      <w:lang w:val="en-US" w:eastAsia="zh-CN" w:bidi="ar"/>
                    </w:rPr>
                    <w:t>初试科目</w:t>
                  </w:r>
                </w:p>
              </w:tc>
            </w:tr>
            <w:tr>
              <w:tblPrEx>
                <w:shd w:val="clear" w:color="auto" w:fill="CCCCCC"/>
                <w:tblCellMar>
                  <w:top w:w="0" w:type="dxa"/>
                  <w:left w:w="0" w:type="dxa"/>
                  <w:bottom w:w="0" w:type="dxa"/>
                  <w:right w:w="0" w:type="dxa"/>
                </w:tblCellMar>
              </w:tblPrEx>
              <w:trPr>
                <w:tblCellSpacing w:w="7" w:type="dxa"/>
              </w:trPr>
              <w:tc>
                <w:tcPr>
                  <w:tcW w:w="9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jc w:val="left"/>
                    <w:rPr>
                      <w:rFonts w:hint="eastAsia" w:ascii="宋体" w:hAnsi="宋体" w:eastAsia="宋体" w:cs="宋体"/>
                      <w:i w:val="0"/>
                      <w:color w:val="003399"/>
                      <w:sz w:val="18"/>
                      <w:szCs w:val="18"/>
                      <w:u w:val="none"/>
                    </w:rPr>
                  </w:pPr>
                  <w:r>
                    <w:rPr>
                      <w:rFonts w:hint="eastAsia" w:ascii="宋体" w:hAnsi="宋体" w:eastAsia="宋体" w:cs="宋体"/>
                      <w:i w:val="0"/>
                      <w:color w:val="003399"/>
                      <w:kern w:val="0"/>
                      <w:sz w:val="18"/>
                      <w:szCs w:val="18"/>
                      <w:u w:val="none"/>
                      <w:bdr w:val="none" w:color="auto" w:sz="0" w:space="0"/>
                      <w:lang w:val="en-US" w:eastAsia="zh-CN" w:bidi="ar"/>
                    </w:rPr>
                    <w:t>1、无机化学 </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2、纳米化学 </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3、高分子化学与物理 </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4、物理化学（含化学物理）</w:t>
                  </w:r>
                </w:p>
              </w:tc>
              <w:tc>
                <w:tcPr>
                  <w:tcW w:w="40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jc w:val="left"/>
                    <w:rPr>
                      <w:rFonts w:hint="eastAsia" w:ascii="宋体" w:hAnsi="宋体" w:eastAsia="宋体" w:cs="宋体"/>
                      <w:i w:val="0"/>
                      <w:color w:val="003399"/>
                      <w:sz w:val="18"/>
                      <w:szCs w:val="18"/>
                      <w:u w:val="none"/>
                    </w:rPr>
                  </w:pPr>
                  <w:r>
                    <w:rPr>
                      <w:rFonts w:hint="eastAsia" w:ascii="宋体" w:hAnsi="宋体" w:eastAsia="宋体" w:cs="宋体"/>
                      <w:i w:val="0"/>
                      <w:color w:val="003399"/>
                      <w:kern w:val="0"/>
                      <w:sz w:val="18"/>
                      <w:szCs w:val="18"/>
                      <w:u w:val="none"/>
                      <w:bdr w:val="none" w:color="auto" w:sz="0" w:space="0"/>
                      <w:lang w:val="en-US" w:eastAsia="zh-CN" w:bidi="ar"/>
                    </w:rPr>
                    <w:t>101思想政治理论 </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201英语一 </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302数学二或617普通物理A或621物理化学 </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813高分子化学与物理或819化学工程学或828量子力学或846综合化学或851结构化学或852无机化学或853分析化学或854有机化学</w:t>
                  </w:r>
                </w:p>
              </w:tc>
            </w:tr>
          </w:tbl>
          <w:p>
            <w:pPr>
              <w:keepNext w:val="0"/>
              <w:keepLines w:val="0"/>
              <w:widowControl/>
              <w:suppressLineNumbers w:val="0"/>
              <w:jc w:val="left"/>
            </w:pP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四、复试形式</w:t>
            </w:r>
            <w:r>
              <w:rPr>
                <w:rFonts w:hint="eastAsia" w:ascii="宋体" w:hAnsi="宋体" w:eastAsia="宋体" w:cs="宋体"/>
                <w:i w:val="0"/>
                <w:caps w:val="0"/>
                <w:color w:val="575757"/>
                <w:spacing w:val="0"/>
                <w:kern w:val="0"/>
                <w:sz w:val="18"/>
                <w:szCs w:val="18"/>
                <w:u w:val="none"/>
                <w:bdr w:val="none" w:color="auto" w:sz="0" w:space="0"/>
                <w:lang w:val="en-US" w:eastAsia="zh-CN" w:bidi="ar"/>
              </w:rPr>
              <w:t>：面试。</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五、复试内容</w:t>
            </w:r>
            <w:r>
              <w:rPr>
                <w:rFonts w:hint="eastAsia" w:ascii="宋体" w:hAnsi="宋体" w:eastAsia="宋体" w:cs="宋体"/>
                <w:i w:val="0"/>
                <w:caps w:val="0"/>
                <w:color w:val="575757"/>
                <w:spacing w:val="0"/>
                <w:kern w:val="0"/>
                <w:sz w:val="18"/>
                <w:szCs w:val="18"/>
                <w:u w:val="none"/>
                <w:bdr w:val="none" w:color="auto" w:sz="0" w:space="0"/>
                <w:lang w:val="en-US" w:eastAsia="zh-CN" w:bidi="ar"/>
              </w:rPr>
              <w:t>：</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专业素质考核：考察考生对本学科（专业）理论知识和应用技能掌握程度，特别是考察考生对本专业基本知识和基本概念的掌握和理解、对本学科发展动态的了解以及在本专业领域发展的潜力。</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综合素质考核：考察考生思想政治素质和道德品质、外语听说能力、本专业以外的学习、科研和社会实践或实际工作等方面的经历、个性心理特征、诚信状况、意志品质等。</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六、复试成绩</w:t>
            </w:r>
            <w:r>
              <w:rPr>
                <w:rFonts w:hint="eastAsia" w:ascii="宋体" w:hAnsi="宋体" w:eastAsia="宋体" w:cs="宋体"/>
                <w:i w:val="0"/>
                <w:caps w:val="0"/>
                <w:color w:val="575757"/>
                <w:spacing w:val="0"/>
                <w:kern w:val="0"/>
                <w:sz w:val="18"/>
                <w:szCs w:val="18"/>
                <w:u w:val="none"/>
                <w:bdr w:val="none" w:color="auto" w:sz="0" w:space="0"/>
                <w:lang w:val="en-US" w:eastAsia="zh-CN" w:bidi="ar"/>
              </w:rPr>
              <w:t>：满分100分。</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七、最终成绩</w:t>
            </w:r>
            <w:r>
              <w:rPr>
                <w:rFonts w:hint="eastAsia" w:ascii="宋体" w:hAnsi="宋体" w:eastAsia="宋体" w:cs="宋体"/>
                <w:i w:val="0"/>
                <w:caps w:val="0"/>
                <w:color w:val="575757"/>
                <w:spacing w:val="0"/>
                <w:kern w:val="0"/>
                <w:sz w:val="18"/>
                <w:szCs w:val="18"/>
                <w:u w:val="none"/>
                <w:bdr w:val="none" w:color="auto" w:sz="0" w:space="0"/>
                <w:lang w:val="en-US" w:eastAsia="zh-CN" w:bidi="ar"/>
              </w:rPr>
              <w:t>：满分100分，复试成绩占比50%，即最终成绩=（初试成绩÷5+复试成绩）÷2。</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八、录取</w:t>
            </w:r>
            <w:r>
              <w:rPr>
                <w:rFonts w:hint="eastAsia" w:ascii="宋体" w:hAnsi="宋体" w:eastAsia="宋体" w:cs="宋体"/>
                <w:i w:val="0"/>
                <w:caps w:val="0"/>
                <w:color w:val="575757"/>
                <w:spacing w:val="0"/>
                <w:kern w:val="0"/>
                <w:sz w:val="18"/>
                <w:szCs w:val="18"/>
                <w:u w:val="none"/>
                <w:bdr w:val="none" w:color="auto" w:sz="0" w:space="0"/>
                <w:lang w:val="en-US" w:eastAsia="zh-CN" w:bidi="ar"/>
              </w:rPr>
              <w:t>：按最终成绩由高到低排序，提出拟录取名单报批。为保证招生质量，报批人数可小于招生计划。</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九、调剂</w:t>
            </w:r>
            <w:r>
              <w:rPr>
                <w:rFonts w:hint="eastAsia" w:ascii="宋体" w:hAnsi="宋体" w:eastAsia="宋体" w:cs="宋体"/>
                <w:i w:val="0"/>
                <w:caps w:val="0"/>
                <w:color w:val="575757"/>
                <w:spacing w:val="0"/>
                <w:kern w:val="0"/>
                <w:sz w:val="18"/>
                <w:szCs w:val="18"/>
                <w:u w:val="none"/>
                <w:bdr w:val="none" w:color="auto" w:sz="0" w:space="0"/>
                <w:lang w:val="en-US" w:eastAsia="zh-CN" w:bidi="ar"/>
              </w:rPr>
              <w:t>：本专业在生源不足的情况下接受调剂。调剂信息将于复试阶段在中国科大研究生招生在线网站（http://yz.ustc.edu.cn）发布。</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十、学费标准：</w:t>
            </w:r>
            <w:r>
              <w:rPr>
                <w:rFonts w:hint="eastAsia" w:ascii="宋体" w:hAnsi="宋体" w:eastAsia="宋体" w:cs="宋体"/>
                <w:i w:val="0"/>
                <w:caps w:val="0"/>
                <w:color w:val="575757"/>
                <w:spacing w:val="0"/>
                <w:kern w:val="0"/>
                <w:sz w:val="18"/>
                <w:szCs w:val="18"/>
                <w:u w:val="none"/>
                <w:bdr w:val="none" w:color="auto" w:sz="0" w:space="0"/>
                <w:lang w:val="en-US" w:eastAsia="zh-CN" w:bidi="ar"/>
              </w:rPr>
              <w:t>8000元/学年。</w:t>
            </w:r>
          </w:p>
        </w:tc>
      </w:tr>
    </w:tbl>
    <w:p>
      <w:pPr>
        <w:rPr>
          <w:rFonts w:hint="eastAsia"/>
        </w:rPr>
      </w:pPr>
    </w:p>
    <w:p>
      <w:pPr>
        <w:rPr>
          <w:rFonts w:hint="eastAsia"/>
        </w:rPr>
      </w:pPr>
    </w:p>
    <w:tbl>
      <w:tblPr>
        <w:tblW w:w="11100" w:type="dxa"/>
        <w:tblCellSpacing w:w="0" w:type="dxa"/>
        <w:tblInd w:w="0" w:type="dxa"/>
        <w:shd w:val="clear" w:color="auto" w:fill="FFFFFF"/>
        <w:tblLayout w:type="autofit"/>
        <w:tblCellMar>
          <w:top w:w="0" w:type="dxa"/>
          <w:left w:w="0" w:type="dxa"/>
          <w:bottom w:w="0" w:type="dxa"/>
          <w:right w:w="0" w:type="dxa"/>
        </w:tblCellMar>
      </w:tblPr>
      <w:tblGrid>
        <w:gridCol w:w="11100"/>
      </w:tblGrid>
      <w:tr>
        <w:tblPrEx>
          <w:shd w:val="clear" w:color="auto" w:fill="FFFFFF"/>
          <w:tblCellMar>
            <w:top w:w="0" w:type="dxa"/>
            <w:left w:w="0" w:type="dxa"/>
            <w:bottom w:w="0" w:type="dxa"/>
            <w:right w:w="0" w:type="dxa"/>
          </w:tblCellMar>
        </w:tblPrEx>
        <w:trPr>
          <w:tblCellSpacing w:w="0" w:type="dxa"/>
        </w:trPr>
        <w:tc>
          <w:tcPr>
            <w:tcW w:w="0" w:type="auto"/>
            <w:shd w:val="clear" w:color="auto" w:fill="FFFFFF"/>
            <w:vAlign w:val="center"/>
          </w:tcPr>
          <w:tbl>
            <w:tblPr>
              <w:tblW w:w="11100" w:type="dxa"/>
              <w:jc w:val="center"/>
              <w:tblCellSpacing w:w="15" w:type="dxa"/>
              <w:shd w:val="clear"/>
              <w:tblLayout w:type="autofit"/>
              <w:tblCellMar>
                <w:top w:w="0" w:type="dxa"/>
                <w:left w:w="0" w:type="dxa"/>
                <w:bottom w:w="0" w:type="dxa"/>
                <w:right w:w="0" w:type="dxa"/>
              </w:tblCellMar>
            </w:tblPr>
            <w:tblGrid>
              <w:gridCol w:w="3227"/>
              <w:gridCol w:w="1013"/>
              <w:gridCol w:w="1434"/>
              <w:gridCol w:w="2526"/>
              <w:gridCol w:w="2900"/>
            </w:tblGrid>
            <w:tr>
              <w:tblPrEx>
                <w:shd w:val="clear"/>
                <w:tblCellMar>
                  <w:top w:w="0" w:type="dxa"/>
                  <w:left w:w="0" w:type="dxa"/>
                  <w:bottom w:w="0" w:type="dxa"/>
                  <w:right w:w="0" w:type="dxa"/>
                </w:tblCellMar>
              </w:tblPrEx>
              <w:trPr>
                <w:trHeight w:val="450" w:hRule="atLeast"/>
                <w:tblCellSpacing w:w="15" w:type="dxa"/>
                <w:jc w:val="center"/>
              </w:trPr>
              <w:tc>
                <w:tcPr>
                  <w:tcW w:w="0" w:type="auto"/>
                  <w:gridSpan w:val="5"/>
                  <w:shd w:val="clear" w:color="auto" w:fill="DEF1FB"/>
                  <w:tcMar>
                    <w:left w:w="150" w:type="dxa"/>
                  </w:tcMar>
                  <w:vAlign w:val="center"/>
                </w:tcPr>
                <w:p>
                  <w:pPr>
                    <w:keepNext w:val="0"/>
                    <w:keepLines w:val="0"/>
                    <w:widowControl/>
                    <w:suppressLineNumbers w:val="0"/>
                    <w:shd w:val="clear" w:fill="DEF1FB"/>
                    <w:spacing w:line="330" w:lineRule="atLeast"/>
                    <w:jc w:val="left"/>
                    <w:rPr>
                      <w:rFonts w:hint="eastAsia" w:ascii="宋体" w:hAnsi="宋体" w:eastAsia="宋体" w:cs="宋体"/>
                      <w:b/>
                      <w:i w:val="0"/>
                      <w:color w:val="666666"/>
                      <w:sz w:val="18"/>
                      <w:szCs w:val="18"/>
                      <w:u w:val="none"/>
                    </w:rPr>
                  </w:pPr>
                  <w:r>
                    <w:rPr>
                      <w:rFonts w:hint="eastAsia" w:ascii="宋体" w:hAnsi="宋体" w:eastAsia="宋体" w:cs="宋体"/>
                      <w:b/>
                      <w:i w:val="0"/>
                      <w:color w:val="666666"/>
                      <w:kern w:val="0"/>
                      <w:sz w:val="18"/>
                      <w:szCs w:val="18"/>
                      <w:u w:val="none"/>
                      <w:bdr w:val="none" w:color="auto" w:sz="0" w:space="0"/>
                      <w:lang w:val="en-US" w:eastAsia="zh-CN" w:bidi="ar"/>
                    </w:rPr>
                    <w:t>学科专业名称：光学工程</w:t>
                  </w:r>
                  <w:r>
                    <w:rPr>
                      <w:rFonts w:hint="eastAsia" w:ascii="宋体" w:hAnsi="宋体" w:eastAsia="宋体" w:cs="宋体"/>
                      <w:b/>
                      <w:i w:val="0"/>
                      <w:color w:val="003399"/>
                      <w:kern w:val="0"/>
                      <w:sz w:val="18"/>
                      <w:szCs w:val="18"/>
                      <w:u w:val="none"/>
                      <w:bdr w:val="none" w:color="auto" w:sz="0" w:space="0"/>
                      <w:lang w:val="en-US" w:eastAsia="zh-CN" w:bidi="ar"/>
                    </w:rPr>
                    <w:t>（专业代码</w:t>
                  </w:r>
                  <w:r>
                    <w:rPr>
                      <w:rStyle w:val="4"/>
                      <w:rFonts w:hint="eastAsia" w:ascii="宋体" w:hAnsi="宋体" w:eastAsia="宋体" w:cs="宋体"/>
                      <w:i w:val="0"/>
                      <w:color w:val="003399"/>
                      <w:kern w:val="0"/>
                      <w:sz w:val="18"/>
                      <w:szCs w:val="18"/>
                      <w:u w:val="none"/>
                      <w:bdr w:val="none" w:color="auto" w:sz="0" w:space="0"/>
                      <w:lang w:val="en-US" w:eastAsia="zh-CN" w:bidi="ar"/>
                    </w:rPr>
                    <w:t>080300）</w:t>
                  </w:r>
                </w:p>
              </w:tc>
            </w:tr>
            <w:tr>
              <w:tblPrEx>
                <w:shd w:val="clear"/>
                <w:tblCellMar>
                  <w:top w:w="0" w:type="dxa"/>
                  <w:left w:w="0" w:type="dxa"/>
                  <w:bottom w:w="0" w:type="dxa"/>
                  <w:right w:w="0" w:type="dxa"/>
                </w:tblCellMar>
              </w:tblPrEx>
              <w:trPr>
                <w:trHeight w:val="30" w:hRule="atLeast"/>
                <w:tblCellSpacing w:w="15" w:type="dxa"/>
                <w:jc w:val="center"/>
              </w:trPr>
              <w:tc>
                <w:tcPr>
                  <w:tcW w:w="3060" w:type="dxa"/>
                  <w:shd w:val="clear"/>
                  <w:vAlign w:val="center"/>
                </w:tcPr>
                <w:p>
                  <w:pPr>
                    <w:rPr>
                      <w:rFonts w:hint="eastAsia" w:ascii="宋体"/>
                      <w:sz w:val="24"/>
                      <w:szCs w:val="24"/>
                    </w:rPr>
                  </w:pPr>
                </w:p>
              </w:tc>
              <w:tc>
                <w:tcPr>
                  <w:tcW w:w="945" w:type="dxa"/>
                  <w:shd w:val="clear"/>
                  <w:vAlign w:val="center"/>
                </w:tcPr>
                <w:p>
                  <w:pPr>
                    <w:rPr>
                      <w:rFonts w:hint="eastAsia" w:ascii="宋体"/>
                      <w:sz w:val="24"/>
                      <w:szCs w:val="24"/>
                    </w:rPr>
                  </w:pPr>
                </w:p>
              </w:tc>
              <w:tc>
                <w:tcPr>
                  <w:tcW w:w="1350" w:type="dxa"/>
                  <w:shd w:val="clear"/>
                  <w:vAlign w:val="center"/>
                </w:tcPr>
                <w:p>
                  <w:pPr>
                    <w:rPr>
                      <w:rFonts w:hint="eastAsia" w:ascii="宋体"/>
                      <w:sz w:val="24"/>
                      <w:szCs w:val="24"/>
                    </w:rPr>
                  </w:pPr>
                </w:p>
              </w:tc>
              <w:tc>
                <w:tcPr>
                  <w:tcW w:w="2400" w:type="dxa"/>
                  <w:shd w:val="clear"/>
                  <w:vAlign w:val="center"/>
                </w:tcPr>
                <w:p>
                  <w:pPr>
                    <w:rPr>
                      <w:rFonts w:hint="eastAsia" w:ascii="宋体"/>
                      <w:sz w:val="24"/>
                      <w:szCs w:val="24"/>
                    </w:rPr>
                  </w:pPr>
                </w:p>
              </w:tc>
              <w:tc>
                <w:tcPr>
                  <w:tcW w:w="2745" w:type="dxa"/>
                  <w:shd w:val="clear"/>
                  <w:vAlign w:val="center"/>
                </w:tcPr>
                <w:p>
                  <w:pPr>
                    <w:rPr>
                      <w:rFonts w:hint="eastAsia" w:ascii="宋体"/>
                      <w:sz w:val="24"/>
                      <w:szCs w:val="24"/>
                    </w:rPr>
                  </w:pPr>
                </w:p>
              </w:tc>
            </w:tr>
          </w:tbl>
          <w:p>
            <w:pPr>
              <w:rPr>
                <w:rFonts w:ascii="微软雅黑" w:hAnsi="微软雅黑" w:eastAsia="微软雅黑" w:cs="微软雅黑"/>
                <w:i w:val="0"/>
                <w:caps w:val="0"/>
                <w:color w:val="000000"/>
                <w:spacing w:val="0"/>
                <w:sz w:val="27"/>
                <w:szCs w:val="27"/>
              </w:rPr>
            </w:pPr>
          </w:p>
        </w:tc>
      </w:tr>
      <w:tr>
        <w:tblPrEx>
          <w:shd w:val="clear" w:color="auto" w:fill="FFFFFF"/>
          <w:tblCellMar>
            <w:top w:w="0" w:type="dxa"/>
            <w:left w:w="0" w:type="dxa"/>
            <w:bottom w:w="0" w:type="dxa"/>
            <w:right w:w="0" w:type="dxa"/>
          </w:tblCellMar>
        </w:tblPrEx>
        <w:trPr>
          <w:tblCellSpacing w:w="0" w:type="dxa"/>
        </w:trPr>
        <w:tc>
          <w:tcPr>
            <w:tcW w:w="0" w:type="auto"/>
            <w:shd w:val="clear" w:color="auto" w:fill="FFFFFF"/>
            <w:tcMar>
              <w:top w:w="225" w:type="dxa"/>
              <w:left w:w="75" w:type="dxa"/>
              <w:bottom w:w="225" w:type="dxa"/>
              <w:right w:w="75" w:type="dxa"/>
            </w:tcMar>
            <w:vAlign w:val="center"/>
          </w:tcPr>
          <w:p>
            <w:pPr>
              <w:keepNext w:val="0"/>
              <w:keepLines w:val="0"/>
              <w:widowControl/>
              <w:suppressLineNumbers w:val="0"/>
              <w:spacing w:line="330" w:lineRule="atLeast"/>
              <w:ind w:left="0" w:firstLine="0"/>
              <w:jc w:val="left"/>
              <w:rPr>
                <w:rFonts w:hint="eastAsia" w:ascii="宋体" w:hAnsi="宋体" w:eastAsia="宋体" w:cs="宋体"/>
                <w:i w:val="0"/>
                <w:caps w:val="0"/>
                <w:color w:val="575757"/>
                <w:spacing w:val="0"/>
                <w:sz w:val="18"/>
                <w:szCs w:val="18"/>
                <w:u w:val="none"/>
              </w:rPr>
            </w:pP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一、报考说明</w:t>
            </w:r>
            <w:r>
              <w:rPr>
                <w:rFonts w:hint="eastAsia" w:ascii="宋体" w:hAnsi="宋体" w:eastAsia="宋体" w:cs="宋体"/>
                <w:i w:val="0"/>
                <w:caps w:val="0"/>
                <w:color w:val="575757"/>
                <w:spacing w:val="0"/>
                <w:kern w:val="0"/>
                <w:sz w:val="18"/>
                <w:szCs w:val="18"/>
                <w:u w:val="none"/>
                <w:bdr w:val="none" w:color="auto" w:sz="0" w:space="0"/>
                <w:lang w:val="en-US" w:eastAsia="zh-CN" w:bidi="ar"/>
              </w:rPr>
              <w:t>：</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接收推免生及统考生。</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二、专业介绍</w:t>
            </w:r>
            <w:r>
              <w:rPr>
                <w:rFonts w:hint="eastAsia" w:ascii="宋体" w:hAnsi="宋体" w:eastAsia="宋体" w:cs="宋体"/>
                <w:i w:val="0"/>
                <w:caps w:val="0"/>
                <w:color w:val="575757"/>
                <w:spacing w:val="0"/>
                <w:kern w:val="0"/>
                <w:sz w:val="18"/>
                <w:szCs w:val="18"/>
                <w:u w:val="none"/>
                <w:bdr w:val="none" w:color="auto" w:sz="0" w:space="0"/>
                <w:lang w:val="en-US" w:eastAsia="zh-CN" w:bidi="ar"/>
              </w:rPr>
              <w:t>：</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国家同步辐射实验室是我国批准建设的第一个国家级实验室、国内高校中唯一一台大科学装置和国家级实验研究平台。由于同步辐射光源具有亮度高、频谱宽、准直性好、偏振度高以及脉冲时间结构等优异特性，在生命科学、材料科学、信息科学、新能源与环境科学、原子分子物理、化学、地学、医学、药学、计量学、纳米/微米加工和微机械等许多学科领域都具有广泛的应用。同步辐射光源已成为前沿交叉研究领域取得重大突破的不可或缺的重要支撑，是国家经济发展、国家安全和社会进步的重要科技基础设施。欢迎物理、化学、材料等专业优秀学生加入我实验室研究团队。</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我实验室光学工程一级学科主要研究方向有：光电子技术、短波光学技术等。</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三、研究方向及初试科目</w:t>
            </w:r>
            <w:r>
              <w:rPr>
                <w:rFonts w:hint="eastAsia" w:ascii="宋体" w:hAnsi="宋体" w:eastAsia="宋体" w:cs="宋体"/>
                <w:i w:val="0"/>
                <w:caps w:val="0"/>
                <w:color w:val="575757"/>
                <w:spacing w:val="0"/>
                <w:kern w:val="0"/>
                <w:sz w:val="18"/>
                <w:szCs w:val="18"/>
                <w:u w:val="none"/>
                <w:bdr w:val="none" w:color="auto" w:sz="0" w:space="0"/>
                <w:lang w:val="en-US" w:eastAsia="zh-CN" w:bidi="ar"/>
              </w:rPr>
              <w:t>：</w:t>
            </w:r>
          </w:p>
          <w:tbl>
            <w:tblPr>
              <w:tblW w:w="5000" w:type="pct"/>
              <w:tblCellSpacing w:w="7" w:type="dxa"/>
              <w:tblInd w:w="0" w:type="dxa"/>
              <w:shd w:val="clear" w:color="auto" w:fill="CCCCCC"/>
              <w:tblLayout w:type="autofit"/>
              <w:tblCellMar>
                <w:top w:w="0" w:type="dxa"/>
                <w:left w:w="0" w:type="dxa"/>
                <w:bottom w:w="0" w:type="dxa"/>
                <w:right w:w="0" w:type="dxa"/>
              </w:tblCellMar>
            </w:tblPr>
            <w:tblGrid>
              <w:gridCol w:w="5420"/>
              <w:gridCol w:w="5530"/>
            </w:tblGrid>
            <w:tr>
              <w:trPr>
                <w:tblCellSpacing w:w="7" w:type="dxa"/>
              </w:trPr>
              <w:tc>
                <w:tcPr>
                  <w:tcW w:w="2450" w:type="pct"/>
                  <w:shd w:val="clear" w:color="auto" w:fill="193F8A"/>
                  <w:tcMar>
                    <w:top w:w="45" w:type="dxa"/>
                    <w:left w:w="150" w:type="dxa"/>
                    <w:bottom w:w="45" w:type="dxa"/>
                  </w:tcMar>
                  <w:vAlign w:val="top"/>
                </w:tcPr>
                <w:p>
                  <w:pPr>
                    <w:keepNext w:val="0"/>
                    <w:keepLines w:val="0"/>
                    <w:widowControl/>
                    <w:suppressLineNumbers w:val="0"/>
                    <w:shd w:val="clear" w:fill="193F8A"/>
                    <w:spacing w:line="330" w:lineRule="atLeast"/>
                    <w:jc w:val="left"/>
                    <w:rPr>
                      <w:rFonts w:hint="eastAsia" w:ascii="宋体" w:hAnsi="宋体" w:eastAsia="宋体" w:cs="宋体"/>
                      <w:b/>
                      <w:i w:val="0"/>
                      <w:color w:val="FFFFFF"/>
                      <w:sz w:val="18"/>
                      <w:szCs w:val="18"/>
                      <w:u w:val="none"/>
                    </w:rPr>
                  </w:pPr>
                  <w:r>
                    <w:rPr>
                      <w:rStyle w:val="4"/>
                      <w:rFonts w:hint="eastAsia" w:ascii="宋体" w:hAnsi="宋体" w:eastAsia="宋体" w:cs="宋体"/>
                      <w:i w:val="0"/>
                      <w:color w:val="FFFFFF"/>
                      <w:kern w:val="0"/>
                      <w:sz w:val="18"/>
                      <w:szCs w:val="18"/>
                      <w:u w:val="none"/>
                      <w:bdr w:val="none" w:color="auto" w:sz="0" w:space="0"/>
                      <w:lang w:val="en-US" w:eastAsia="zh-CN" w:bidi="ar"/>
                    </w:rPr>
                    <w:t>研究方向</w:t>
                  </w:r>
                </w:p>
              </w:tc>
              <w:tc>
                <w:tcPr>
                  <w:tcW w:w="2500" w:type="pct"/>
                  <w:shd w:val="clear" w:color="auto" w:fill="193F8A"/>
                  <w:tcMar>
                    <w:top w:w="45" w:type="dxa"/>
                    <w:left w:w="150" w:type="dxa"/>
                    <w:bottom w:w="45" w:type="dxa"/>
                  </w:tcMar>
                  <w:vAlign w:val="top"/>
                </w:tcPr>
                <w:p>
                  <w:pPr>
                    <w:keepNext w:val="0"/>
                    <w:keepLines w:val="0"/>
                    <w:widowControl/>
                    <w:suppressLineNumbers w:val="0"/>
                    <w:shd w:val="clear" w:fill="193F8A"/>
                    <w:spacing w:line="330" w:lineRule="atLeast"/>
                    <w:jc w:val="left"/>
                    <w:rPr>
                      <w:rFonts w:hint="eastAsia" w:ascii="宋体" w:hAnsi="宋体" w:eastAsia="宋体" w:cs="宋体"/>
                      <w:b/>
                      <w:i w:val="0"/>
                      <w:color w:val="FFFFFF"/>
                      <w:sz w:val="18"/>
                      <w:szCs w:val="18"/>
                      <w:u w:val="none"/>
                    </w:rPr>
                  </w:pPr>
                  <w:r>
                    <w:rPr>
                      <w:rStyle w:val="4"/>
                      <w:rFonts w:hint="eastAsia" w:ascii="宋体" w:hAnsi="宋体" w:eastAsia="宋体" w:cs="宋体"/>
                      <w:i w:val="0"/>
                      <w:color w:val="FFFFFF"/>
                      <w:kern w:val="0"/>
                      <w:sz w:val="18"/>
                      <w:szCs w:val="18"/>
                      <w:u w:val="none"/>
                      <w:bdr w:val="none" w:color="auto" w:sz="0" w:space="0"/>
                      <w:lang w:val="en-US" w:eastAsia="zh-CN" w:bidi="ar"/>
                    </w:rPr>
                    <w:t>初试科目</w:t>
                  </w:r>
                </w:p>
              </w:tc>
            </w:tr>
            <w:tr>
              <w:tblPrEx>
                <w:shd w:val="clear" w:color="auto" w:fill="CCCCCC"/>
                <w:tblCellMar>
                  <w:top w:w="0" w:type="dxa"/>
                  <w:left w:w="0" w:type="dxa"/>
                  <w:bottom w:w="0" w:type="dxa"/>
                  <w:right w:w="0" w:type="dxa"/>
                </w:tblCellMar>
              </w:tblPrEx>
              <w:trPr>
                <w:tblCellSpacing w:w="7" w:type="dxa"/>
              </w:trPr>
              <w:tc>
                <w:tcPr>
                  <w:tcW w:w="24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jc w:val="left"/>
                    <w:rPr>
                      <w:rFonts w:hint="eastAsia" w:ascii="宋体" w:hAnsi="宋体" w:eastAsia="宋体" w:cs="宋体"/>
                      <w:i w:val="0"/>
                      <w:color w:val="003399"/>
                      <w:sz w:val="18"/>
                      <w:szCs w:val="18"/>
                      <w:u w:val="none"/>
                    </w:rPr>
                  </w:pPr>
                  <w:r>
                    <w:rPr>
                      <w:rFonts w:hint="eastAsia" w:ascii="宋体" w:hAnsi="宋体" w:eastAsia="宋体" w:cs="宋体"/>
                      <w:i w:val="0"/>
                      <w:color w:val="003399"/>
                      <w:kern w:val="0"/>
                      <w:sz w:val="18"/>
                      <w:szCs w:val="18"/>
                      <w:u w:val="none"/>
                      <w:bdr w:val="none" w:color="auto" w:sz="0" w:space="0"/>
                      <w:lang w:val="en-US" w:eastAsia="zh-CN" w:bidi="ar"/>
                    </w:rPr>
                    <w:t>1、光电子技术 </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2、短波光学技术</w:t>
                  </w:r>
                </w:p>
              </w:tc>
              <w:tc>
                <w:tcPr>
                  <w:tcW w:w="25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jc w:val="left"/>
                    <w:rPr>
                      <w:rFonts w:hint="eastAsia" w:ascii="宋体" w:hAnsi="宋体" w:eastAsia="宋体" w:cs="宋体"/>
                      <w:i w:val="0"/>
                      <w:color w:val="003399"/>
                      <w:sz w:val="18"/>
                      <w:szCs w:val="18"/>
                      <w:u w:val="none"/>
                    </w:rPr>
                  </w:pPr>
                  <w:r>
                    <w:rPr>
                      <w:rFonts w:hint="eastAsia" w:ascii="宋体" w:hAnsi="宋体" w:eastAsia="宋体" w:cs="宋体"/>
                      <w:i w:val="0"/>
                      <w:color w:val="003399"/>
                      <w:kern w:val="0"/>
                      <w:sz w:val="18"/>
                      <w:szCs w:val="18"/>
                      <w:u w:val="none"/>
                      <w:bdr w:val="none" w:color="auto" w:sz="0" w:space="0"/>
                      <w:lang w:val="en-US" w:eastAsia="zh-CN" w:bidi="ar"/>
                    </w:rPr>
                    <w:t>101思想政治理论 </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201英语一 </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301数学一 </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850应用光学</w:t>
                  </w:r>
                </w:p>
              </w:tc>
            </w:tr>
          </w:tbl>
          <w:p>
            <w:pPr>
              <w:keepNext w:val="0"/>
              <w:keepLines w:val="0"/>
              <w:widowControl/>
              <w:suppressLineNumbers w:val="0"/>
              <w:jc w:val="left"/>
            </w:pP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四、复试形式</w:t>
            </w:r>
            <w:r>
              <w:rPr>
                <w:rFonts w:hint="eastAsia" w:ascii="宋体" w:hAnsi="宋体" w:eastAsia="宋体" w:cs="宋体"/>
                <w:i w:val="0"/>
                <w:caps w:val="0"/>
                <w:color w:val="575757"/>
                <w:spacing w:val="0"/>
                <w:kern w:val="0"/>
                <w:sz w:val="18"/>
                <w:szCs w:val="18"/>
                <w:u w:val="none"/>
                <w:bdr w:val="none" w:color="auto" w:sz="0" w:space="0"/>
                <w:lang w:val="en-US" w:eastAsia="zh-CN" w:bidi="ar"/>
              </w:rPr>
              <w:t>：面试。</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五、复试内容</w:t>
            </w:r>
            <w:r>
              <w:rPr>
                <w:rFonts w:hint="eastAsia" w:ascii="宋体" w:hAnsi="宋体" w:eastAsia="宋体" w:cs="宋体"/>
                <w:i w:val="0"/>
                <w:caps w:val="0"/>
                <w:color w:val="575757"/>
                <w:spacing w:val="0"/>
                <w:kern w:val="0"/>
                <w:sz w:val="18"/>
                <w:szCs w:val="18"/>
                <w:u w:val="none"/>
                <w:bdr w:val="none" w:color="auto" w:sz="0" w:space="0"/>
                <w:lang w:val="en-US" w:eastAsia="zh-CN" w:bidi="ar"/>
              </w:rPr>
              <w:t>：</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专业素质考核：考察考生对本学科（专业）理论知识和应用技能掌握程度，特别是考察考生对本专业基本知识和基本概念的掌握和理解、对本学科发展动态的了解以及在本专业领域发展的潜力。</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综合素质考核：考察考生思想政治素质和道德品质、外语听说能力、本专业以外的学习、科研和社会实践或实际工作等方面的经历、个性心理特征、诚信状况、意志品质等。</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六、复试成绩</w:t>
            </w:r>
            <w:r>
              <w:rPr>
                <w:rFonts w:hint="eastAsia" w:ascii="宋体" w:hAnsi="宋体" w:eastAsia="宋体" w:cs="宋体"/>
                <w:i w:val="0"/>
                <w:caps w:val="0"/>
                <w:color w:val="575757"/>
                <w:spacing w:val="0"/>
                <w:kern w:val="0"/>
                <w:sz w:val="18"/>
                <w:szCs w:val="18"/>
                <w:u w:val="none"/>
                <w:bdr w:val="none" w:color="auto" w:sz="0" w:space="0"/>
                <w:lang w:val="en-US" w:eastAsia="zh-CN" w:bidi="ar"/>
              </w:rPr>
              <w:t>：满分100分。</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七、最终成绩</w:t>
            </w:r>
            <w:r>
              <w:rPr>
                <w:rFonts w:hint="eastAsia" w:ascii="宋体" w:hAnsi="宋体" w:eastAsia="宋体" w:cs="宋体"/>
                <w:i w:val="0"/>
                <w:caps w:val="0"/>
                <w:color w:val="575757"/>
                <w:spacing w:val="0"/>
                <w:kern w:val="0"/>
                <w:sz w:val="18"/>
                <w:szCs w:val="18"/>
                <w:u w:val="none"/>
                <w:bdr w:val="none" w:color="auto" w:sz="0" w:space="0"/>
                <w:lang w:val="en-US" w:eastAsia="zh-CN" w:bidi="ar"/>
              </w:rPr>
              <w:t>：满分100分，复试成绩占比50%，即最终成绩=（初试成绩÷5+复试成绩）÷2。</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八、录取</w:t>
            </w:r>
            <w:r>
              <w:rPr>
                <w:rFonts w:hint="eastAsia" w:ascii="宋体" w:hAnsi="宋体" w:eastAsia="宋体" w:cs="宋体"/>
                <w:i w:val="0"/>
                <w:caps w:val="0"/>
                <w:color w:val="575757"/>
                <w:spacing w:val="0"/>
                <w:kern w:val="0"/>
                <w:sz w:val="18"/>
                <w:szCs w:val="18"/>
                <w:u w:val="none"/>
                <w:bdr w:val="none" w:color="auto" w:sz="0" w:space="0"/>
                <w:lang w:val="en-US" w:eastAsia="zh-CN" w:bidi="ar"/>
              </w:rPr>
              <w:t>：按最终成绩由高到低排序，提出拟录取名单报批。为保证招生质量，报批人数可小于招生计划。</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九、调剂</w:t>
            </w:r>
            <w:r>
              <w:rPr>
                <w:rFonts w:hint="eastAsia" w:ascii="宋体" w:hAnsi="宋体" w:eastAsia="宋体" w:cs="宋体"/>
                <w:i w:val="0"/>
                <w:caps w:val="0"/>
                <w:color w:val="575757"/>
                <w:spacing w:val="0"/>
                <w:kern w:val="0"/>
                <w:sz w:val="18"/>
                <w:szCs w:val="18"/>
                <w:u w:val="none"/>
                <w:bdr w:val="none" w:color="auto" w:sz="0" w:space="0"/>
                <w:lang w:val="en-US" w:eastAsia="zh-CN" w:bidi="ar"/>
              </w:rPr>
              <w:t>：本专业在生源不足的情况下接受调剂。调剂信息将于复试阶段在中国科大研究生招生在线网站（http://yz.ustc.edu.cn）发布。</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十、学费标准：</w:t>
            </w:r>
            <w:r>
              <w:rPr>
                <w:rFonts w:hint="eastAsia" w:ascii="宋体" w:hAnsi="宋体" w:eastAsia="宋体" w:cs="宋体"/>
                <w:i w:val="0"/>
                <w:caps w:val="0"/>
                <w:color w:val="575757"/>
                <w:spacing w:val="0"/>
                <w:kern w:val="0"/>
                <w:sz w:val="18"/>
                <w:szCs w:val="18"/>
                <w:u w:val="none"/>
                <w:bdr w:val="none" w:color="auto" w:sz="0" w:space="0"/>
                <w:lang w:val="en-US" w:eastAsia="zh-CN" w:bidi="ar"/>
              </w:rPr>
              <w:t>8000元/学年。</w:t>
            </w:r>
          </w:p>
        </w:tc>
      </w:tr>
    </w:tbl>
    <w:p>
      <w:pPr>
        <w:rPr>
          <w:rFonts w:hint="eastAsia"/>
        </w:rPr>
      </w:pPr>
    </w:p>
    <w:p>
      <w:pPr>
        <w:rPr>
          <w:rFonts w:hint="eastAsia"/>
        </w:rPr>
      </w:pPr>
    </w:p>
    <w:tbl>
      <w:tblPr>
        <w:tblW w:w="11100" w:type="dxa"/>
        <w:tblCellSpacing w:w="0" w:type="dxa"/>
        <w:tblInd w:w="0" w:type="dxa"/>
        <w:shd w:val="clear" w:color="auto" w:fill="FFFFFF"/>
        <w:tblLayout w:type="autofit"/>
        <w:tblCellMar>
          <w:top w:w="0" w:type="dxa"/>
          <w:left w:w="0" w:type="dxa"/>
          <w:bottom w:w="0" w:type="dxa"/>
          <w:right w:w="0" w:type="dxa"/>
        </w:tblCellMar>
      </w:tblPr>
      <w:tblGrid>
        <w:gridCol w:w="11100"/>
      </w:tblGrid>
      <w:tr>
        <w:tblPrEx>
          <w:shd w:val="clear" w:color="auto" w:fill="FFFFFF"/>
          <w:tblCellMar>
            <w:top w:w="0" w:type="dxa"/>
            <w:left w:w="0" w:type="dxa"/>
            <w:bottom w:w="0" w:type="dxa"/>
            <w:right w:w="0" w:type="dxa"/>
          </w:tblCellMar>
        </w:tblPrEx>
        <w:trPr>
          <w:tblCellSpacing w:w="0" w:type="dxa"/>
        </w:trPr>
        <w:tc>
          <w:tcPr>
            <w:tcW w:w="0" w:type="auto"/>
            <w:shd w:val="clear" w:color="auto" w:fill="FFFFFF"/>
            <w:vAlign w:val="center"/>
          </w:tcPr>
          <w:tbl>
            <w:tblPr>
              <w:tblW w:w="11100" w:type="dxa"/>
              <w:jc w:val="center"/>
              <w:tblCellSpacing w:w="15" w:type="dxa"/>
              <w:shd w:val="clear"/>
              <w:tblLayout w:type="autofit"/>
              <w:tblCellMar>
                <w:top w:w="0" w:type="dxa"/>
                <w:left w:w="0" w:type="dxa"/>
                <w:bottom w:w="0" w:type="dxa"/>
                <w:right w:w="0" w:type="dxa"/>
              </w:tblCellMar>
            </w:tblPr>
            <w:tblGrid>
              <w:gridCol w:w="3227"/>
              <w:gridCol w:w="1013"/>
              <w:gridCol w:w="1434"/>
              <w:gridCol w:w="2526"/>
              <w:gridCol w:w="2900"/>
            </w:tblGrid>
            <w:tr>
              <w:tblPrEx>
                <w:shd w:val="clear"/>
              </w:tblPrEx>
              <w:trPr>
                <w:trHeight w:val="450" w:hRule="atLeast"/>
                <w:tblCellSpacing w:w="15" w:type="dxa"/>
                <w:jc w:val="center"/>
              </w:trPr>
              <w:tc>
                <w:tcPr>
                  <w:tcW w:w="0" w:type="auto"/>
                  <w:gridSpan w:val="5"/>
                  <w:shd w:val="clear" w:color="auto" w:fill="DEF1FB"/>
                  <w:tcMar>
                    <w:left w:w="150" w:type="dxa"/>
                  </w:tcMar>
                  <w:vAlign w:val="center"/>
                </w:tcPr>
                <w:p>
                  <w:pPr>
                    <w:keepNext w:val="0"/>
                    <w:keepLines w:val="0"/>
                    <w:widowControl/>
                    <w:suppressLineNumbers w:val="0"/>
                    <w:shd w:val="clear" w:fill="DEF1FB"/>
                    <w:spacing w:line="330" w:lineRule="atLeast"/>
                    <w:jc w:val="left"/>
                    <w:rPr>
                      <w:rFonts w:hint="eastAsia" w:ascii="宋体" w:hAnsi="宋体" w:eastAsia="宋体" w:cs="宋体"/>
                      <w:b/>
                      <w:i w:val="0"/>
                      <w:color w:val="666666"/>
                      <w:sz w:val="18"/>
                      <w:szCs w:val="18"/>
                      <w:u w:val="none"/>
                    </w:rPr>
                  </w:pPr>
                  <w:r>
                    <w:rPr>
                      <w:rFonts w:hint="eastAsia" w:ascii="宋体" w:hAnsi="宋体" w:eastAsia="宋体" w:cs="宋体"/>
                      <w:b/>
                      <w:i w:val="0"/>
                      <w:color w:val="666666"/>
                      <w:kern w:val="0"/>
                      <w:sz w:val="18"/>
                      <w:szCs w:val="18"/>
                      <w:u w:val="none"/>
                      <w:bdr w:val="none" w:color="auto" w:sz="0" w:space="0"/>
                      <w:lang w:val="en-US" w:eastAsia="zh-CN" w:bidi="ar"/>
                    </w:rPr>
                    <w:t>学科专业名称：材料科学与工程</w:t>
                  </w:r>
                  <w:r>
                    <w:rPr>
                      <w:rFonts w:hint="eastAsia" w:ascii="宋体" w:hAnsi="宋体" w:eastAsia="宋体" w:cs="宋体"/>
                      <w:b/>
                      <w:i w:val="0"/>
                      <w:color w:val="003399"/>
                      <w:kern w:val="0"/>
                      <w:sz w:val="18"/>
                      <w:szCs w:val="18"/>
                      <w:u w:val="none"/>
                      <w:bdr w:val="none" w:color="auto" w:sz="0" w:space="0"/>
                      <w:lang w:val="en-US" w:eastAsia="zh-CN" w:bidi="ar"/>
                    </w:rPr>
                    <w:t>（专业代码</w:t>
                  </w:r>
                  <w:r>
                    <w:rPr>
                      <w:rStyle w:val="4"/>
                      <w:rFonts w:hint="eastAsia" w:ascii="宋体" w:hAnsi="宋体" w:eastAsia="宋体" w:cs="宋体"/>
                      <w:i w:val="0"/>
                      <w:color w:val="003399"/>
                      <w:kern w:val="0"/>
                      <w:sz w:val="18"/>
                      <w:szCs w:val="18"/>
                      <w:u w:val="none"/>
                      <w:bdr w:val="none" w:color="auto" w:sz="0" w:space="0"/>
                      <w:lang w:val="en-US" w:eastAsia="zh-CN" w:bidi="ar"/>
                    </w:rPr>
                    <w:t>080500）</w:t>
                  </w:r>
                </w:p>
              </w:tc>
            </w:tr>
            <w:tr>
              <w:tblPrEx>
                <w:shd w:val="clear"/>
                <w:tblCellMar>
                  <w:top w:w="0" w:type="dxa"/>
                  <w:left w:w="0" w:type="dxa"/>
                  <w:bottom w:w="0" w:type="dxa"/>
                  <w:right w:w="0" w:type="dxa"/>
                </w:tblCellMar>
              </w:tblPrEx>
              <w:trPr>
                <w:trHeight w:val="30" w:hRule="atLeast"/>
                <w:tblCellSpacing w:w="15" w:type="dxa"/>
                <w:jc w:val="center"/>
              </w:trPr>
              <w:tc>
                <w:tcPr>
                  <w:tcW w:w="3060" w:type="dxa"/>
                  <w:shd w:val="clear"/>
                  <w:vAlign w:val="center"/>
                </w:tcPr>
                <w:p>
                  <w:pPr>
                    <w:rPr>
                      <w:rFonts w:hint="eastAsia" w:ascii="宋体"/>
                      <w:sz w:val="24"/>
                      <w:szCs w:val="24"/>
                    </w:rPr>
                  </w:pPr>
                </w:p>
              </w:tc>
              <w:tc>
                <w:tcPr>
                  <w:tcW w:w="945" w:type="dxa"/>
                  <w:shd w:val="clear"/>
                  <w:vAlign w:val="center"/>
                </w:tcPr>
                <w:p>
                  <w:pPr>
                    <w:rPr>
                      <w:rFonts w:hint="eastAsia" w:ascii="宋体"/>
                      <w:sz w:val="24"/>
                      <w:szCs w:val="24"/>
                    </w:rPr>
                  </w:pPr>
                </w:p>
              </w:tc>
              <w:tc>
                <w:tcPr>
                  <w:tcW w:w="1350" w:type="dxa"/>
                  <w:shd w:val="clear"/>
                  <w:vAlign w:val="center"/>
                </w:tcPr>
                <w:p>
                  <w:pPr>
                    <w:rPr>
                      <w:rFonts w:hint="eastAsia" w:ascii="宋体"/>
                      <w:sz w:val="24"/>
                      <w:szCs w:val="24"/>
                    </w:rPr>
                  </w:pPr>
                </w:p>
              </w:tc>
              <w:tc>
                <w:tcPr>
                  <w:tcW w:w="2400" w:type="dxa"/>
                  <w:shd w:val="clear"/>
                  <w:vAlign w:val="center"/>
                </w:tcPr>
                <w:p>
                  <w:pPr>
                    <w:rPr>
                      <w:rFonts w:hint="eastAsia" w:ascii="宋体"/>
                      <w:sz w:val="24"/>
                      <w:szCs w:val="24"/>
                    </w:rPr>
                  </w:pPr>
                </w:p>
              </w:tc>
              <w:tc>
                <w:tcPr>
                  <w:tcW w:w="2745" w:type="dxa"/>
                  <w:shd w:val="clear"/>
                  <w:vAlign w:val="center"/>
                </w:tcPr>
                <w:p>
                  <w:pPr>
                    <w:rPr>
                      <w:rFonts w:hint="eastAsia" w:ascii="宋体"/>
                      <w:sz w:val="24"/>
                      <w:szCs w:val="24"/>
                    </w:rPr>
                  </w:pPr>
                </w:p>
              </w:tc>
            </w:tr>
          </w:tbl>
          <w:p>
            <w:pPr>
              <w:rPr>
                <w:rFonts w:ascii="微软雅黑" w:hAnsi="微软雅黑" w:eastAsia="微软雅黑" w:cs="微软雅黑"/>
                <w:i w:val="0"/>
                <w:caps w:val="0"/>
                <w:color w:val="000000"/>
                <w:spacing w:val="0"/>
                <w:sz w:val="27"/>
                <w:szCs w:val="27"/>
              </w:rPr>
            </w:pPr>
          </w:p>
        </w:tc>
      </w:tr>
      <w:tr>
        <w:tblPrEx>
          <w:shd w:val="clear" w:color="auto" w:fill="FFFFFF"/>
          <w:tblCellMar>
            <w:top w:w="0" w:type="dxa"/>
            <w:left w:w="0" w:type="dxa"/>
            <w:bottom w:w="0" w:type="dxa"/>
            <w:right w:w="0" w:type="dxa"/>
          </w:tblCellMar>
        </w:tblPrEx>
        <w:trPr>
          <w:tblCellSpacing w:w="0" w:type="dxa"/>
        </w:trPr>
        <w:tc>
          <w:tcPr>
            <w:tcW w:w="0" w:type="auto"/>
            <w:shd w:val="clear" w:color="auto" w:fill="FFFFFF"/>
            <w:tcMar>
              <w:top w:w="225" w:type="dxa"/>
              <w:left w:w="75" w:type="dxa"/>
              <w:bottom w:w="225" w:type="dxa"/>
              <w:right w:w="75" w:type="dxa"/>
            </w:tcMar>
            <w:vAlign w:val="center"/>
          </w:tcPr>
          <w:p>
            <w:pPr>
              <w:keepNext w:val="0"/>
              <w:keepLines w:val="0"/>
              <w:widowControl/>
              <w:suppressLineNumbers w:val="0"/>
              <w:spacing w:line="330" w:lineRule="atLeast"/>
              <w:ind w:left="0" w:firstLine="0"/>
              <w:jc w:val="left"/>
              <w:rPr>
                <w:rFonts w:hint="eastAsia" w:ascii="宋体" w:hAnsi="宋体" w:eastAsia="宋体" w:cs="宋体"/>
                <w:i w:val="0"/>
                <w:caps w:val="0"/>
                <w:color w:val="575757"/>
                <w:spacing w:val="0"/>
                <w:sz w:val="18"/>
                <w:szCs w:val="18"/>
                <w:u w:val="none"/>
              </w:rPr>
            </w:pP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一、报考说明</w:t>
            </w:r>
            <w:r>
              <w:rPr>
                <w:rFonts w:hint="eastAsia" w:ascii="宋体" w:hAnsi="宋体" w:eastAsia="宋体" w:cs="宋体"/>
                <w:i w:val="0"/>
                <w:caps w:val="0"/>
                <w:color w:val="575757"/>
                <w:spacing w:val="0"/>
                <w:kern w:val="0"/>
                <w:sz w:val="18"/>
                <w:szCs w:val="18"/>
                <w:u w:val="none"/>
                <w:bdr w:val="none" w:color="auto" w:sz="0" w:space="0"/>
                <w:lang w:val="en-US" w:eastAsia="zh-CN" w:bidi="ar"/>
              </w:rPr>
              <w:t>：</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接收推免生及统考生。</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二、专业介绍</w:t>
            </w:r>
            <w:r>
              <w:rPr>
                <w:rFonts w:hint="eastAsia" w:ascii="宋体" w:hAnsi="宋体" w:eastAsia="宋体" w:cs="宋体"/>
                <w:i w:val="0"/>
                <w:caps w:val="0"/>
                <w:color w:val="575757"/>
                <w:spacing w:val="0"/>
                <w:kern w:val="0"/>
                <w:sz w:val="18"/>
                <w:szCs w:val="18"/>
                <w:u w:val="none"/>
                <w:bdr w:val="none" w:color="auto" w:sz="0" w:space="0"/>
                <w:lang w:val="en-US" w:eastAsia="zh-CN" w:bidi="ar"/>
              </w:rPr>
              <w:t>：</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国家同步辐射实验室是我国批准建设的第一个国家级实验室、国内高校中唯一一台大科学装置和国家级实验研究平台。由于同步辐射光源具有亮度高、频谱宽、准直性好、偏振度高以及脉冲时间结构等优异特性，在生命科学、材料科学、信息科学、新能源与环境科学、原子分子物理、化学、地学、医学、药学、计量学、纳米/微米加工和微机械等许多学科领域都具有广泛的应用。同步辐射光源已成为前沿交叉研究领域取得重大突破的不可或缺的重要支撑，是国家经济发展、国家安全和社会进步的重要科技基础设施。欢迎物理、化学、材料等专业优秀学生加入我实验室研究团队。</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本专业主要涉及二级学科材料物理与化学，以材料物理、材料化学、固体物理、功能薄膜等为主要学科研究基础，研究方向涉及新能源材料的光伏、光电、热电材料和半导体材料、功能纳米材料等，研究内容涉及无机非金属功能材料的理论计算、物理和化学制备、结构与性能表征等。本专业以培养从事前沿和交叉科学的基础研究、应用研究的领军人才为目标，注重对学生的综合素质和创新精神的培养。本专业培养的硕士博士毕业生具有扎实的基础理论知识和强的实验技能，具有独立从事科学研究的能力。主要毕业去向是进入高等院校、科研院所从事教学和科研工作，或出国攻读博士后和博士学位等。</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三、研究方向及初试科目</w:t>
            </w:r>
            <w:r>
              <w:rPr>
                <w:rFonts w:hint="eastAsia" w:ascii="宋体" w:hAnsi="宋体" w:eastAsia="宋体" w:cs="宋体"/>
                <w:i w:val="0"/>
                <w:caps w:val="0"/>
                <w:color w:val="575757"/>
                <w:spacing w:val="0"/>
                <w:kern w:val="0"/>
                <w:sz w:val="18"/>
                <w:szCs w:val="18"/>
                <w:u w:val="none"/>
                <w:bdr w:val="none" w:color="auto" w:sz="0" w:space="0"/>
                <w:lang w:val="en-US" w:eastAsia="zh-CN" w:bidi="ar"/>
              </w:rPr>
              <w:t>：</w:t>
            </w:r>
          </w:p>
          <w:tbl>
            <w:tblPr>
              <w:tblW w:w="5000" w:type="pct"/>
              <w:tblCellSpacing w:w="7" w:type="dxa"/>
              <w:tblInd w:w="0" w:type="dxa"/>
              <w:shd w:val="clear" w:color="auto" w:fill="CCCCCC"/>
              <w:tblLayout w:type="autofit"/>
              <w:tblCellMar>
                <w:top w:w="0" w:type="dxa"/>
                <w:left w:w="0" w:type="dxa"/>
                <w:bottom w:w="0" w:type="dxa"/>
                <w:right w:w="0" w:type="dxa"/>
              </w:tblCellMar>
            </w:tblPr>
            <w:tblGrid>
              <w:gridCol w:w="2004"/>
              <w:gridCol w:w="8946"/>
            </w:tblGrid>
            <w:tr>
              <w:trPr>
                <w:tblCellSpacing w:w="7" w:type="dxa"/>
              </w:trPr>
              <w:tc>
                <w:tcPr>
                  <w:tcW w:w="900" w:type="pct"/>
                  <w:shd w:val="clear" w:color="auto" w:fill="193F8A"/>
                  <w:tcMar>
                    <w:top w:w="45" w:type="dxa"/>
                    <w:left w:w="150" w:type="dxa"/>
                    <w:bottom w:w="45" w:type="dxa"/>
                  </w:tcMar>
                  <w:vAlign w:val="top"/>
                </w:tcPr>
                <w:p>
                  <w:pPr>
                    <w:keepNext w:val="0"/>
                    <w:keepLines w:val="0"/>
                    <w:widowControl/>
                    <w:suppressLineNumbers w:val="0"/>
                    <w:shd w:val="clear" w:fill="193F8A"/>
                    <w:spacing w:line="330" w:lineRule="atLeast"/>
                    <w:jc w:val="left"/>
                    <w:rPr>
                      <w:rFonts w:hint="eastAsia" w:ascii="宋体" w:hAnsi="宋体" w:eastAsia="宋体" w:cs="宋体"/>
                      <w:b/>
                      <w:i w:val="0"/>
                      <w:color w:val="FFFFFF"/>
                      <w:sz w:val="18"/>
                      <w:szCs w:val="18"/>
                      <w:u w:val="none"/>
                    </w:rPr>
                  </w:pPr>
                  <w:r>
                    <w:rPr>
                      <w:rStyle w:val="4"/>
                      <w:rFonts w:hint="eastAsia" w:ascii="宋体" w:hAnsi="宋体" w:eastAsia="宋体" w:cs="宋体"/>
                      <w:i w:val="0"/>
                      <w:color w:val="FFFFFF"/>
                      <w:kern w:val="0"/>
                      <w:sz w:val="18"/>
                      <w:szCs w:val="18"/>
                      <w:u w:val="none"/>
                      <w:bdr w:val="none" w:color="auto" w:sz="0" w:space="0"/>
                      <w:lang w:val="en-US" w:eastAsia="zh-CN" w:bidi="ar"/>
                    </w:rPr>
                    <w:t>研究方向</w:t>
                  </w:r>
                </w:p>
              </w:tc>
              <w:tc>
                <w:tcPr>
                  <w:tcW w:w="4050" w:type="pct"/>
                  <w:shd w:val="clear" w:color="auto" w:fill="193F8A"/>
                  <w:tcMar>
                    <w:top w:w="45" w:type="dxa"/>
                    <w:left w:w="150" w:type="dxa"/>
                    <w:bottom w:w="45" w:type="dxa"/>
                  </w:tcMar>
                  <w:vAlign w:val="top"/>
                </w:tcPr>
                <w:p>
                  <w:pPr>
                    <w:keepNext w:val="0"/>
                    <w:keepLines w:val="0"/>
                    <w:widowControl/>
                    <w:suppressLineNumbers w:val="0"/>
                    <w:shd w:val="clear" w:fill="193F8A"/>
                    <w:spacing w:line="330" w:lineRule="atLeast"/>
                    <w:jc w:val="left"/>
                    <w:rPr>
                      <w:rFonts w:hint="eastAsia" w:ascii="宋体" w:hAnsi="宋体" w:eastAsia="宋体" w:cs="宋体"/>
                      <w:b/>
                      <w:i w:val="0"/>
                      <w:color w:val="FFFFFF"/>
                      <w:sz w:val="18"/>
                      <w:szCs w:val="18"/>
                      <w:u w:val="none"/>
                    </w:rPr>
                  </w:pPr>
                  <w:r>
                    <w:rPr>
                      <w:rStyle w:val="4"/>
                      <w:rFonts w:hint="eastAsia" w:ascii="宋体" w:hAnsi="宋体" w:eastAsia="宋体" w:cs="宋体"/>
                      <w:i w:val="0"/>
                      <w:color w:val="FFFFFF"/>
                      <w:kern w:val="0"/>
                      <w:sz w:val="18"/>
                      <w:szCs w:val="18"/>
                      <w:u w:val="none"/>
                      <w:bdr w:val="none" w:color="auto" w:sz="0" w:space="0"/>
                      <w:lang w:val="en-US" w:eastAsia="zh-CN" w:bidi="ar"/>
                    </w:rPr>
                    <w:t>初试科目</w:t>
                  </w:r>
                </w:p>
              </w:tc>
            </w:tr>
            <w:tr>
              <w:tblPrEx>
                <w:shd w:val="clear" w:color="auto" w:fill="CCCCCC"/>
                <w:tblCellMar>
                  <w:top w:w="0" w:type="dxa"/>
                  <w:left w:w="0" w:type="dxa"/>
                  <w:bottom w:w="0" w:type="dxa"/>
                  <w:right w:w="0" w:type="dxa"/>
                </w:tblCellMar>
              </w:tblPrEx>
              <w:trPr>
                <w:tblCellSpacing w:w="7" w:type="dxa"/>
              </w:trPr>
              <w:tc>
                <w:tcPr>
                  <w:tcW w:w="9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jc w:val="left"/>
                    <w:rPr>
                      <w:rFonts w:hint="eastAsia" w:ascii="宋体" w:hAnsi="宋体" w:eastAsia="宋体" w:cs="宋体"/>
                      <w:i w:val="0"/>
                      <w:color w:val="003399"/>
                      <w:sz w:val="18"/>
                      <w:szCs w:val="18"/>
                      <w:u w:val="none"/>
                    </w:rPr>
                  </w:pPr>
                  <w:r>
                    <w:rPr>
                      <w:rFonts w:hint="eastAsia" w:ascii="宋体" w:hAnsi="宋体" w:eastAsia="宋体" w:cs="宋体"/>
                      <w:i w:val="0"/>
                      <w:color w:val="003399"/>
                      <w:kern w:val="0"/>
                      <w:sz w:val="18"/>
                      <w:szCs w:val="18"/>
                      <w:u w:val="none"/>
                      <w:bdr w:val="none" w:color="auto" w:sz="0" w:space="0"/>
                      <w:lang w:val="en-US" w:eastAsia="zh-CN" w:bidi="ar"/>
                    </w:rPr>
                    <w:t>1、材料物理与化学</w:t>
                  </w:r>
                </w:p>
              </w:tc>
              <w:tc>
                <w:tcPr>
                  <w:tcW w:w="40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jc w:val="left"/>
                    <w:rPr>
                      <w:rFonts w:hint="eastAsia" w:ascii="宋体" w:hAnsi="宋体" w:eastAsia="宋体" w:cs="宋体"/>
                      <w:i w:val="0"/>
                      <w:color w:val="003399"/>
                      <w:sz w:val="18"/>
                      <w:szCs w:val="18"/>
                      <w:u w:val="none"/>
                    </w:rPr>
                  </w:pPr>
                  <w:r>
                    <w:rPr>
                      <w:rFonts w:hint="eastAsia" w:ascii="宋体" w:hAnsi="宋体" w:eastAsia="宋体" w:cs="宋体"/>
                      <w:i w:val="0"/>
                      <w:color w:val="003399"/>
                      <w:kern w:val="0"/>
                      <w:sz w:val="18"/>
                      <w:szCs w:val="18"/>
                      <w:u w:val="none"/>
                      <w:bdr w:val="none" w:color="auto" w:sz="0" w:space="0"/>
                      <w:lang w:val="en-US" w:eastAsia="zh-CN" w:bidi="ar"/>
                    </w:rPr>
                    <w:t>101思想政治理论 </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201英语一 </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302数学二 </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802材料科学基础或813高分子化学与物理或815固体物理或832普通物理B或846综合化学</w:t>
                  </w:r>
                </w:p>
              </w:tc>
            </w:tr>
          </w:tbl>
          <w:p>
            <w:pPr>
              <w:keepNext w:val="0"/>
              <w:keepLines w:val="0"/>
              <w:widowControl/>
              <w:suppressLineNumbers w:val="0"/>
              <w:jc w:val="left"/>
            </w:pP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四、复试形式</w:t>
            </w:r>
            <w:r>
              <w:rPr>
                <w:rFonts w:hint="eastAsia" w:ascii="宋体" w:hAnsi="宋体" w:eastAsia="宋体" w:cs="宋体"/>
                <w:i w:val="0"/>
                <w:caps w:val="0"/>
                <w:color w:val="575757"/>
                <w:spacing w:val="0"/>
                <w:kern w:val="0"/>
                <w:sz w:val="18"/>
                <w:szCs w:val="18"/>
                <w:u w:val="none"/>
                <w:bdr w:val="none" w:color="auto" w:sz="0" w:space="0"/>
                <w:lang w:val="en-US" w:eastAsia="zh-CN" w:bidi="ar"/>
              </w:rPr>
              <w:t>：面试。</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五、复试内容</w:t>
            </w:r>
            <w:r>
              <w:rPr>
                <w:rFonts w:hint="eastAsia" w:ascii="宋体" w:hAnsi="宋体" w:eastAsia="宋体" w:cs="宋体"/>
                <w:i w:val="0"/>
                <w:caps w:val="0"/>
                <w:color w:val="575757"/>
                <w:spacing w:val="0"/>
                <w:kern w:val="0"/>
                <w:sz w:val="18"/>
                <w:szCs w:val="18"/>
                <w:u w:val="none"/>
                <w:bdr w:val="none" w:color="auto" w:sz="0" w:space="0"/>
                <w:lang w:val="en-US" w:eastAsia="zh-CN" w:bidi="ar"/>
              </w:rPr>
              <w:t>：</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专业素质考核：考察考生对本学科（专业）理论知识和应用技能掌握程度，特别是考察考生对本专业基本知识和基本概念的掌握和理解、对本学科发展动态的了解以及在本专业领域发展的潜力。</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综合素质考核：考察考生思想政治素质和道德品质、外语听说能力、本专业以外的学习、科研和社会实践或实际工作等方面的经历、个性心理特征、诚信状况、意志品质等。</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六、复试成绩</w:t>
            </w:r>
            <w:r>
              <w:rPr>
                <w:rFonts w:hint="eastAsia" w:ascii="宋体" w:hAnsi="宋体" w:eastAsia="宋体" w:cs="宋体"/>
                <w:i w:val="0"/>
                <w:caps w:val="0"/>
                <w:color w:val="575757"/>
                <w:spacing w:val="0"/>
                <w:kern w:val="0"/>
                <w:sz w:val="18"/>
                <w:szCs w:val="18"/>
                <w:u w:val="none"/>
                <w:bdr w:val="none" w:color="auto" w:sz="0" w:space="0"/>
                <w:lang w:val="en-US" w:eastAsia="zh-CN" w:bidi="ar"/>
              </w:rPr>
              <w:t>：满分100分。</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七、最终成绩</w:t>
            </w:r>
            <w:r>
              <w:rPr>
                <w:rFonts w:hint="eastAsia" w:ascii="宋体" w:hAnsi="宋体" w:eastAsia="宋体" w:cs="宋体"/>
                <w:i w:val="0"/>
                <w:caps w:val="0"/>
                <w:color w:val="575757"/>
                <w:spacing w:val="0"/>
                <w:kern w:val="0"/>
                <w:sz w:val="18"/>
                <w:szCs w:val="18"/>
                <w:u w:val="none"/>
                <w:bdr w:val="none" w:color="auto" w:sz="0" w:space="0"/>
                <w:lang w:val="en-US" w:eastAsia="zh-CN" w:bidi="ar"/>
              </w:rPr>
              <w:t>：满分100分，复试成绩占比50%，即最终成绩=（初试成绩÷5+复试成绩）÷2。</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八、录取</w:t>
            </w:r>
            <w:r>
              <w:rPr>
                <w:rFonts w:hint="eastAsia" w:ascii="宋体" w:hAnsi="宋体" w:eastAsia="宋体" w:cs="宋体"/>
                <w:i w:val="0"/>
                <w:caps w:val="0"/>
                <w:color w:val="575757"/>
                <w:spacing w:val="0"/>
                <w:kern w:val="0"/>
                <w:sz w:val="18"/>
                <w:szCs w:val="18"/>
                <w:u w:val="none"/>
                <w:bdr w:val="none" w:color="auto" w:sz="0" w:space="0"/>
                <w:lang w:val="en-US" w:eastAsia="zh-CN" w:bidi="ar"/>
              </w:rPr>
              <w:t>：按最终成绩由高到低排序，提出拟录取名单报批。为保证招生质量，报批人数可小于招生计划。</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九、调剂</w:t>
            </w:r>
            <w:r>
              <w:rPr>
                <w:rFonts w:hint="eastAsia" w:ascii="宋体" w:hAnsi="宋体" w:eastAsia="宋体" w:cs="宋体"/>
                <w:i w:val="0"/>
                <w:caps w:val="0"/>
                <w:color w:val="575757"/>
                <w:spacing w:val="0"/>
                <w:kern w:val="0"/>
                <w:sz w:val="18"/>
                <w:szCs w:val="18"/>
                <w:u w:val="none"/>
                <w:bdr w:val="none" w:color="auto" w:sz="0" w:space="0"/>
                <w:lang w:val="en-US" w:eastAsia="zh-CN" w:bidi="ar"/>
              </w:rPr>
              <w:t>：本专业在生源不足的情况下接受调剂。调剂信息将于复试阶段在中国科大研究生招生在线网站（http://yz.ustc.edu.cn）发布。</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十、学费标准：</w:t>
            </w:r>
            <w:r>
              <w:rPr>
                <w:rFonts w:hint="eastAsia" w:ascii="宋体" w:hAnsi="宋体" w:eastAsia="宋体" w:cs="宋体"/>
                <w:i w:val="0"/>
                <w:caps w:val="0"/>
                <w:color w:val="575757"/>
                <w:spacing w:val="0"/>
                <w:kern w:val="0"/>
                <w:sz w:val="18"/>
                <w:szCs w:val="18"/>
                <w:u w:val="none"/>
                <w:bdr w:val="none" w:color="auto" w:sz="0" w:space="0"/>
                <w:lang w:val="en-US" w:eastAsia="zh-CN" w:bidi="ar"/>
              </w:rPr>
              <w:t>8000元/学年。</w:t>
            </w:r>
          </w:p>
        </w:tc>
      </w:tr>
    </w:tbl>
    <w:p>
      <w:pPr>
        <w:rPr>
          <w:rFonts w:hint="eastAsia"/>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95514E"/>
    <w:rsid w:val="6E9551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2019-12-03T09:41:00Z</dcterms:created>
  <dc:creator>Administrator</dc:creator>
  <cp:lastModifiedBy>Administrator</cp:lastModifiedBy>
  <dcterms:modified xsi:type="dcterms:W3CDTF">2019-12-03T09:42:22Z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