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国家同步辐射实验室</w:t>
      </w:r>
    </w:p>
    <w:bookmarkEnd w:id="0"/>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ind w:left="0" w:firstLine="0"/>
              <w:jc w:val="left"/>
              <w:rPr>
                <w:rFonts w:hint="eastAsia" w:ascii="宋体" w:hAnsi="宋体" w:eastAsia="宋体" w:cs="宋体"/>
                <w:b/>
                <w:i w:val="0"/>
                <w:caps w:val="0"/>
                <w:color w:val="666666"/>
                <w:spacing w:val="0"/>
                <w:sz w:val="18"/>
                <w:szCs w:val="18"/>
                <w:u w:val="none"/>
              </w:rPr>
            </w:pPr>
            <w:r>
              <w:rPr>
                <w:rFonts w:hint="eastAsia" w:ascii="宋体" w:hAnsi="宋体" w:eastAsia="宋体" w:cs="宋体"/>
                <w:b/>
                <w:i w:val="0"/>
                <w:caps w:val="0"/>
                <w:color w:val="666666"/>
                <w:spacing w:val="0"/>
                <w:kern w:val="0"/>
                <w:sz w:val="18"/>
                <w:szCs w:val="18"/>
                <w:u w:val="none"/>
                <w:bdr w:val="none" w:color="auto" w:sz="0" w:space="0"/>
                <w:lang w:val="en-US" w:eastAsia="zh-CN" w:bidi="ar"/>
              </w:rPr>
              <w:t>国家同步辐射实验室包含以下专业：</w:t>
            </w:r>
          </w:p>
        </w:tc>
      </w:tr>
      <w:tr>
        <w:tblPrEx>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i w:val="0"/>
                <w:caps w:val="0"/>
                <w:color w:val="000000"/>
                <w:spacing w:val="0"/>
                <w:sz w:val="27"/>
                <w:szCs w:val="27"/>
              </w:rPr>
            </w:pPr>
          </w:p>
        </w:tc>
      </w:tr>
    </w:tbl>
    <w:p>
      <w:pPr>
        <w:keepNext w:val="0"/>
        <w:keepLines w:val="0"/>
        <w:widowControl/>
        <w:suppressLineNumbers w:val="0"/>
        <w:jc w:val="left"/>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w:t>
                  </w:r>
                  <w:r>
                    <w:rPr>
                      <w:rStyle w:val="4"/>
                      <w:rFonts w:hint="eastAsia" w:ascii="宋体" w:hAnsi="宋体" w:eastAsia="宋体" w:cs="宋体"/>
                      <w:i w:val="0"/>
                      <w:color w:val="666666"/>
                      <w:kern w:val="0"/>
                      <w:sz w:val="18"/>
                      <w:szCs w:val="18"/>
                      <w:u w:val="none"/>
                      <w:bdr w:val="none" w:color="auto" w:sz="0" w:space="0"/>
                      <w:lang w:val="en-US" w:eastAsia="zh-CN" w:bidi="ar"/>
                    </w:rPr>
                    <w:t>核科学与技术</w:t>
                  </w:r>
                  <w:r>
                    <w:rPr>
                      <w:rFonts w:hint="eastAsia" w:ascii="宋体" w:hAnsi="宋体" w:eastAsia="宋体" w:cs="宋体"/>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082700）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是中国科学院博士生重点培养基地，教育部同步辐射博士生创新中心，其拥有的“核科学与技术”学科是国家一级重点学科，具有“核科学与技术”工学硕士与博士学位一级学科学位授予权。学科专业主要涵盖“核技术及应用”、“同步辐射及应用”和“辐射防护与环境保护”，研究方向分别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核技术及应用”专业：主要包含有粒子加速器物理技术与工程、同步辐射光源物理与技术、先进光源物理与技术、驱动束加速器物理与技术、短波光物理与技术、核电子学与束测技术、自动控制技术、脉冲功率与高能量密度技术、电磁场与射频技术、高功率电源技术、辐射技术及应用、真空物理与技术、精密工程测量技术等，涉及物理、电子工程与计算机科学技术等领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同步辐射及应用”专业：同步辐射光源由于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及应用已形成为一门综合性和交叉性很强的学科，它依托于国家同步辐射实验室拥有的我国第一台专用同步辐射光源，其已成为前沿交叉研究领域取得重大突破的不可或缺的重要支撑，是国家经济发展、国家安全和社会进步的重要科技基础设施。</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3）“辐射防护与环境保护科学”专业：主要依托合肥同步辐射光源，开展辐射防护与环保方向的科学研究与研究生教育。</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本专业研究生毕业去向：本学科培养的研究生有较深的理论基础，较宽的知识结构，较强的独立研究和设计能力，掌握现代实验技术，“理实交融”，就业范围较宽。</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研究生毕业后，留在国内仍然从事本学科专业工作的，一般进入涉及“核科学与技术”学科的中国科学院相关研究所、中国工程物理研究院、中国原子能科学研究院、国有核工业企业集团、高等院校、国家与省级核安全管理部门，以及其他民营企业集团就业。出国的一般进入发达国家的大学和研究机构，继续深造或就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1453"/>
              <w:gridCol w:w="9497"/>
            </w:tblGrid>
            <w:tr>
              <w:tblPrEx>
                <w:shd w:val="clear" w:color="auto" w:fill="CCCCCC"/>
              </w:tblPrEx>
              <w:trPr>
                <w:tblCellSpacing w:w="7" w:type="dxa"/>
              </w:trPr>
              <w:tc>
                <w:tcPr>
                  <w:tcW w:w="6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43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1、核技术及应用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2、同步辐射及应用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3、辐射防护与环境保护</w:t>
                  </w:r>
                </w:p>
              </w:tc>
              <w:tc>
                <w:tcPr>
                  <w:tcW w:w="43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802材料科学基础或810电子学基础或813高分子化学与物理或815固体物理或821机械设计或828量子力学或832普通物理B或833热工基础或846综合化学或850应用光学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学科专业名称：能源动力</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085800）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能源动力”专业涉及到核技术及应用、同步辐射及应用、辐射防护与环境保护等许多领域、本专业学位获得者应掌握核技术工程领域的坚实基础理论和专业知识，掌握解决该领域工程问题的先进技术方法和实验手段，具有独立担负工程技术和工程管理工作的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研究生毕业后，留在国内仍然从事本学科专业工作的，一般进入中国科学院相关研究所、中国工程物理研究院、中国原子能科学研究院、国有核工业企业集团、高等院校、国家与省级核安全管理部门，以及其他民营企业集团就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shd w:val="clear" w:color="auto" w:fill="CCCCCC"/>
                <w:tblCellMar>
                  <w:top w:w="0" w:type="dxa"/>
                  <w:left w:w="0" w:type="dxa"/>
                  <w:bottom w:w="0" w:type="dxa"/>
                  <w:right w:w="0" w:type="dxa"/>
                </w:tblCellMar>
              </w:tblPrEx>
              <w:trPr>
                <w:tblCellSpacing w:w="7" w:type="dxa"/>
              </w:trPr>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1、核能与核技术工程</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832普通物理B或846综合化学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学科专业名称：物理学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070200）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物理学一级学科为国家一级重点学科，该学科以培养从事前沿和交叉科学的基础研究、应用研究和研制开发的领军人才为目标，注重对学生的物理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我实验室以物理学一级学科招收的研究生主要从事凝聚态物理方向的研究，主要研究方向包括：强关联体系与低温物理；纳米材料与物理；功能薄膜与器件物理。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089"/>
              <w:gridCol w:w="5861"/>
            </w:tblGrid>
            <w:tr>
              <w:tblPrEx>
                <w:tblCellMar>
                  <w:top w:w="0" w:type="dxa"/>
                  <w:left w:w="0" w:type="dxa"/>
                  <w:bottom w:w="0" w:type="dxa"/>
                  <w:right w:w="0" w:type="dxa"/>
                </w:tblCellMar>
              </w:tblPrEx>
              <w:trPr>
                <w:tblCellSpacing w:w="7" w:type="dxa"/>
              </w:trPr>
              <w:tc>
                <w:tcPr>
                  <w:tcW w:w="23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6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3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1、凝聚态物理</w:t>
                  </w:r>
                </w:p>
              </w:tc>
              <w:tc>
                <w:tcPr>
                  <w:tcW w:w="2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828量子力学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学科专业名称：化学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070300）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化学学科是国家一级重点学科，设一级学科博士、硕士学位授权点。本学科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该专业研究方向有：无机化学、物理化学(含化学物理)、高分子化学与物理、纳米化学。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2004"/>
              <w:gridCol w:w="8946"/>
            </w:tblGrid>
            <w:tr>
              <w:tblPrEx>
                <w:shd w:val="clear" w:color="auto" w:fill="CCCCCC"/>
                <w:tblCellMar>
                  <w:top w:w="0" w:type="dxa"/>
                  <w:left w:w="0" w:type="dxa"/>
                  <w:bottom w:w="0" w:type="dxa"/>
                  <w:right w:w="0" w:type="dxa"/>
                </w:tblCellMar>
              </w:tblPrEx>
              <w:trPr>
                <w:tblCellSpacing w:w="7" w:type="dxa"/>
              </w:trPr>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40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1、无机化学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2、纳米化学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3、高分子化学与物理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4、物理化学（含化学物理）</w:t>
                  </w:r>
                </w:p>
              </w:tc>
              <w:tc>
                <w:tcPr>
                  <w:tcW w:w="4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302数学二或617普通物理A或621物理化学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813高分子化学与物理或819化学工程学或828量子力学或846综合化学或851结构化学或852无机化学或853分析化学或854有机化学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学科专业名称：光学工程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080300）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我实验室光学工程一级学科主要研究方向有：光电子技术、短波光学技术等。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20"/>
              <w:gridCol w:w="5530"/>
            </w:tblGrid>
            <w:tr>
              <w:trPr>
                <w:tblCellSpacing w:w="7" w:type="dxa"/>
              </w:trPr>
              <w:tc>
                <w:tcPr>
                  <w:tcW w:w="24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4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1、光电子技术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2、短波光学技术</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学科专业名称：材料科学与工程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080500）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主要涉及二级学科材料物理与化学，以材料物理、材料化学、固体物理、功能薄膜等为主要学科研究基础，研究方向涉及新能源材料的光伏、光电、热电材料和半导体材料、功能纳米材料等，研究内容涉及无机非金属功能材料的理论计算、物理和化学制备、结构与性能表征等。本专业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2004"/>
              <w:gridCol w:w="8946"/>
            </w:tblGrid>
            <w:tr>
              <w:trPr>
                <w:tblCellSpacing w:w="7" w:type="dxa"/>
              </w:trPr>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40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1、材料物理与化学</w:t>
                  </w:r>
                </w:p>
              </w:tc>
              <w:tc>
                <w:tcPr>
                  <w:tcW w:w="4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802材料科学基础或813高分子化学与物理或815固体物理或832普通物理B或846综合化学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：满分100分，复试成绩占比50%，即最终成绩=（初试成绩÷5+复试成绩）÷2。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5514E"/>
    <w:rsid w:val="6E95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2019-12-03T09:41:00Z</dcterms:created>
  <dc:creator>Administrator</dc:creator>
  <cp:lastModifiedBy>Administrator</cp:lastModifiedBy>
  <dcterms:modified xsi:type="dcterms:W3CDTF">2019-12-03T09:42:22Z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