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地球和空间科学学院</w:t>
      </w:r>
    </w:p>
    <w:bookmarkEnd w:id="0"/>
    <w:p>
      <w:pPr>
        <w:rPr>
          <w:rFonts w:hint="eastAsia"/>
        </w:rPr>
      </w:pPr>
    </w:p>
    <w:tbl>
      <w:tblPr>
        <w:tblpPr w:vertAnchor="text" w:tblpXSpec="right"/>
        <w:tblW w:w="0" w:type="auto"/>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tcBorders>
              <w:bottom w:val="single" w:color="D8D8D8" w:sz="6" w:space="0"/>
            </w:tcBorders>
            <w:shd w:val="clear" w:color="auto" w:fill="FFFFFF"/>
            <w:vAlign w:val="center"/>
          </w:tcPr>
          <w:tbl>
            <w:tblPr>
              <w:tblW w:w="11100" w:type="dxa"/>
              <w:tblCellSpacing w:w="0" w:type="dxa"/>
              <w:tblInd w:w="0" w:type="dxa"/>
              <w:shd w:val="clear"/>
              <w:tblLayout w:type="autofit"/>
              <w:tblCellMar>
                <w:top w:w="0" w:type="dxa"/>
                <w:left w:w="0" w:type="dxa"/>
                <w:bottom w:w="0" w:type="dxa"/>
                <w:right w:w="0" w:type="dxa"/>
              </w:tblCellMar>
            </w:tblPr>
            <w:tblGrid>
              <w:gridCol w:w="11100"/>
            </w:tblGrid>
            <w:tr>
              <w:tblPrEx>
                <w:shd w:val="clear"/>
                <w:tblCellMar>
                  <w:top w:w="0" w:type="dxa"/>
                  <w:left w:w="0" w:type="dxa"/>
                  <w:bottom w:w="0" w:type="dxa"/>
                  <w:right w:w="0" w:type="dxa"/>
                </w:tblCellMar>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地球和空间科学学院包含以下专业：</w:t>
                  </w:r>
                </w:p>
              </w:tc>
            </w:tr>
            <w:tr>
              <w:tblPrEx>
                <w:shd w:val="clear"/>
                <w:tblCellMar>
                  <w:top w:w="0" w:type="dxa"/>
                  <w:left w:w="0" w:type="dxa"/>
                  <w:bottom w:w="0" w:type="dxa"/>
                  <w:right w:w="0" w:type="dxa"/>
                </w:tblCellMar>
              </w:tblPrEx>
              <w:trPr>
                <w:trHeight w:val="121" w:hRule="atLeast"/>
                <w:tblCellSpacing w:w="0" w:type="dxa"/>
              </w:trPr>
              <w:tc>
                <w:tcPr>
                  <w:tcW w:w="0" w:type="auto"/>
                  <w:shd w:val="clear"/>
                  <w:vAlign w:val="center"/>
                </w:tcPr>
                <w:p>
                  <w:pPr>
                    <w:rPr>
                      <w:rFonts w:hint="eastAsia" w:ascii="宋体"/>
                      <w:sz w:val="24"/>
                      <w:szCs w:val="24"/>
                    </w:rPr>
                  </w:pPr>
                </w:p>
              </w:tc>
            </w:tr>
          </w:tbl>
          <w:p>
            <w:pPr>
              <w:rPr>
                <w:vanish/>
                <w:sz w:val="24"/>
                <w:szCs w:val="24"/>
              </w:rPr>
            </w:pPr>
          </w:p>
          <w:tbl>
            <w:tblPr>
              <w:tblW w:w="0" w:type="auto"/>
              <w:tblCellSpacing w:w="0" w:type="dxa"/>
              <w:tblInd w:w="0" w:type="dxa"/>
              <w:shd w:val="clear"/>
              <w:tblLayout w:type="autofit"/>
              <w:tblCellMar>
                <w:top w:w="0" w:type="dxa"/>
                <w:left w:w="0" w:type="dxa"/>
                <w:bottom w:w="0" w:type="dxa"/>
                <w:right w:w="0" w:type="dxa"/>
              </w:tblCellMar>
            </w:tblPr>
            <w:tblGrid>
              <w:gridCol w:w="1298"/>
              <w:gridCol w:w="1298"/>
              <w:gridCol w:w="1038"/>
              <w:gridCol w:w="1687"/>
              <w:gridCol w:w="1298"/>
              <w:gridCol w:w="1687"/>
            </w:tblGrid>
            <w:tr>
              <w:tblPrEx>
                <w:shd w:val="clear"/>
                <w:tblCellMar>
                  <w:top w:w="0" w:type="dxa"/>
                  <w:left w:w="0" w:type="dxa"/>
                  <w:bottom w:w="0" w:type="dxa"/>
                  <w:right w:w="0" w:type="dxa"/>
                </w:tblCellMar>
              </w:tblPrEx>
              <w:trPr>
                <w:tblCellSpacing w:w="0" w:type="dxa"/>
              </w:trPr>
              <w:tc>
                <w:tcPr>
                  <w:tcW w:w="1500" w:type="dxa"/>
                  <w:shd w:val="clear"/>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bdr w:val="none" w:color="auto" w:sz="0" w:space="0"/>
                            <w:lang w:val="en-US" w:eastAsia="zh-CN" w:bidi="ar"/>
                          </w:rPr>
                          <w:t>大气科学</w:t>
                        </w:r>
                      </w:p>
                    </w:tc>
                  </w:tr>
                </w:tbl>
                <w:p>
                  <w:pPr>
                    <w:spacing w:line="330" w:lineRule="atLeast"/>
                    <w:jc w:val="left"/>
                  </w:pPr>
                </w:p>
              </w:tc>
              <w:tc>
                <w:tcPr>
                  <w:tcW w:w="1500" w:type="dxa"/>
                  <w:shd w:val="clear"/>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地球物理学</w:t>
                        </w:r>
                      </w:p>
                    </w:tc>
                  </w:tr>
                </w:tbl>
                <w:p>
                  <w:pPr>
                    <w:spacing w:line="330" w:lineRule="atLeast"/>
                    <w:jc w:val="left"/>
                  </w:pPr>
                </w:p>
              </w:tc>
              <w:tc>
                <w:tcPr>
                  <w:tcW w:w="1200"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blCellSpacing w:w="0" w:type="dxa"/>
                    </w:trPr>
                    <w:tc>
                      <w:tcPr>
                        <w:tcW w:w="12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地质学</w:t>
                        </w:r>
                      </w:p>
                    </w:tc>
                  </w:tr>
                </w:tbl>
                <w:p>
                  <w:pPr>
                    <w:spacing w:line="330" w:lineRule="atLeast"/>
                    <w:jc w:val="left"/>
                  </w:pPr>
                </w:p>
              </w:tc>
              <w:tc>
                <w:tcPr>
                  <w:tcW w:w="1950" w:type="dxa"/>
                  <w:shd w:val="clear"/>
                  <w:vAlign w:val="center"/>
                </w:tcPr>
                <w:tbl>
                  <w:tblPr>
                    <w:tblW w:w="1950" w:type="dxa"/>
                    <w:tblCellSpacing w:w="0" w:type="dxa"/>
                    <w:tblInd w:w="0" w:type="dxa"/>
                    <w:shd w:val="clear"/>
                    <w:tblLayout w:type="autofit"/>
                    <w:tblCellMar>
                      <w:top w:w="0" w:type="dxa"/>
                      <w:left w:w="0" w:type="dxa"/>
                      <w:bottom w:w="0" w:type="dxa"/>
                      <w:right w:w="0" w:type="dxa"/>
                    </w:tblCellMar>
                  </w:tblPr>
                  <w:tblGrid>
                    <w:gridCol w:w="195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环境科学与工程</w:t>
                        </w:r>
                      </w:p>
                    </w:tc>
                  </w:tr>
                </w:tbl>
                <w:p>
                  <w:pPr>
                    <w:spacing w:line="330" w:lineRule="atLeast"/>
                    <w:jc w:val="left"/>
                  </w:pPr>
                </w:p>
              </w:tc>
              <w:tc>
                <w:tcPr>
                  <w:tcW w:w="1500" w:type="dxa"/>
                  <w:shd w:val="clear"/>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资源与环境</w:t>
                        </w:r>
                      </w:p>
                    </w:tc>
                  </w:tr>
                </w:tbl>
                <w:p>
                  <w:pPr>
                    <w:spacing w:line="330" w:lineRule="atLeast"/>
                    <w:jc w:val="left"/>
                  </w:pPr>
                </w:p>
              </w:tc>
              <w:tc>
                <w:tcPr>
                  <w:tcW w:w="1950" w:type="dxa"/>
                  <w:shd w:val="clear"/>
                  <w:vAlign w:val="center"/>
                </w:tcPr>
                <w:tbl>
                  <w:tblPr>
                    <w:tblW w:w="1950" w:type="dxa"/>
                    <w:tblCellSpacing w:w="0" w:type="dxa"/>
                    <w:tblInd w:w="0" w:type="dxa"/>
                    <w:shd w:val="clear"/>
                    <w:tblLayout w:type="autofit"/>
                    <w:tblCellMar>
                      <w:top w:w="0" w:type="dxa"/>
                      <w:left w:w="0" w:type="dxa"/>
                      <w:bottom w:w="0" w:type="dxa"/>
                      <w:right w:w="0" w:type="dxa"/>
                    </w:tblCellMar>
                  </w:tblPr>
                  <w:tblGrid>
                    <w:gridCol w:w="1950"/>
                  </w:tblGrid>
                  <w:tr>
                    <w:trPr>
                      <w:tblCellSpacing w:w="0" w:type="dxa"/>
                    </w:trPr>
                    <w:tc>
                      <w:tcPr>
                        <w:tcW w:w="19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资源与环境（单考）</w:t>
                        </w:r>
                      </w:p>
                    </w:tc>
                  </w:tr>
                </w:tbl>
                <w:p>
                  <w:pPr>
                    <w:spacing w:line="330" w:lineRule="atLeast"/>
                    <w:jc w:val="left"/>
                  </w:pPr>
                </w:p>
              </w:tc>
            </w:tr>
          </w:tbl>
          <w:p>
            <w:pPr>
              <w:jc w:val="left"/>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top"/>
          </w:tcPr>
          <w:tbl>
            <w:tblPr>
              <w:tblW w:w="11100" w:type="dxa"/>
              <w:jc w:val="center"/>
              <w:tblCellSpacing w:w="0" w:type="dxa"/>
              <w:shd w:val="clear"/>
              <w:tblLayout w:type="autofit"/>
              <w:tblCellMar>
                <w:top w:w="0" w:type="dxa"/>
                <w:left w:w="0" w:type="dxa"/>
                <w:bottom w:w="0" w:type="dxa"/>
                <w:right w:w="0" w:type="dxa"/>
              </w:tblCellMar>
            </w:tblPr>
            <w:tblGrid>
              <w:gridCol w:w="8306"/>
            </w:tblGrid>
            <w:tr>
              <w:tblPrEx>
                <w:shd w:val="clear"/>
              </w:tblPrEx>
              <w:trPr>
                <w:trHeight w:val="151" w:hRule="atLeast"/>
                <w:tblCellSpacing w:w="0" w:type="dxa"/>
                <w:jc w:val="center"/>
              </w:trPr>
              <w:tc>
                <w:tcPr>
                  <w:tcW w:w="0" w:type="auto"/>
                  <w:shd w:val="clear"/>
                  <w:vAlign w:val="center"/>
                </w:tcPr>
                <w:p>
                  <w:pPr>
                    <w:rPr>
                      <w:rFonts w:hint="eastAsia" w:ascii="宋体"/>
                      <w:sz w:val="24"/>
                      <w:szCs w:val="24"/>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学科专业名称:地球物理学</w:t>
                        </w:r>
                        <w:r>
                          <w:rPr>
                            <w:rFonts w:hint="eastAsia" w:ascii="宋体" w:hAnsi="宋体" w:eastAsia="宋体" w:cs="宋体"/>
                            <w:b/>
                            <w:i w:val="0"/>
                            <w:color w:val="003399"/>
                            <w:kern w:val="0"/>
                            <w:sz w:val="18"/>
                            <w:szCs w:val="18"/>
                            <w:u w:val="none"/>
                            <w:bdr w:val="none" w:color="auto" w:sz="0" w:space="0"/>
                            <w:lang w:val="en-US" w:eastAsia="zh-CN" w:bidi="ar"/>
                          </w:rPr>
                          <w:t>(学科专业代码</w:t>
                        </w:r>
                        <w:r>
                          <w:rPr>
                            <w:rStyle w:val="4"/>
                            <w:rFonts w:hint="eastAsia" w:ascii="宋体" w:hAnsi="宋体" w:eastAsia="宋体" w:cs="宋体"/>
                            <w:i w:val="0"/>
                            <w:color w:val="003399"/>
                            <w:kern w:val="0"/>
                            <w:sz w:val="18"/>
                            <w:szCs w:val="18"/>
                            <w:u w:val="none"/>
                            <w:bdr w:val="none" w:color="auto" w:sz="0" w:space="0"/>
                            <w:lang w:val="en-US" w:eastAsia="zh-CN" w:bidi="ar"/>
                          </w:rPr>
                          <w:t>070800)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tc>
            </w:tr>
            <w:tr>
              <w:tblPrEx>
                <w:tblCellMar>
                  <w:top w:w="0" w:type="dxa"/>
                  <w:left w:w="0" w:type="dxa"/>
                  <w:bottom w:w="0" w:type="dxa"/>
                  <w:right w:w="0" w:type="dxa"/>
                </w:tblCellMar>
              </w:tblPrEx>
              <w:trPr>
                <w:tblCellSpacing w:w="0" w:type="dxa"/>
                <w:jc w:val="center"/>
              </w:trPr>
              <w:tc>
                <w:tcPr>
                  <w:tcW w:w="0" w:type="auto"/>
                  <w:shd w:val="clear"/>
                  <w:tcMar>
                    <w:top w:w="225" w:type="dxa"/>
                    <w:left w:w="75" w:type="dxa"/>
                    <w:bottom w:w="225" w:type="dxa"/>
                    <w:right w:w="75" w:type="dxa"/>
                  </w:tcMar>
                  <w:vAlign w:val="center"/>
                </w:tcPr>
                <w:p>
                  <w:pPr>
                    <w:keepNext w:val="0"/>
                    <w:keepLines w:val="0"/>
                    <w:widowControl/>
                    <w:suppressLineNumbers w:val="0"/>
                    <w:spacing w:line="330" w:lineRule="atLeast"/>
                    <w:jc w:val="left"/>
                    <w:rPr>
                      <w:rFonts w:hint="eastAsia" w:ascii="宋体" w:hAnsi="宋体" w:eastAsia="宋体" w:cs="宋体"/>
                      <w:i w:val="0"/>
                      <w:color w:val="575757"/>
                      <w:sz w:val="18"/>
                      <w:szCs w:val="18"/>
                      <w:u w:val="none"/>
                    </w:rPr>
                  </w:pPr>
                  <w:r>
                    <w:rPr>
                      <w:rStyle w:val="4"/>
                      <w:rFonts w:hint="eastAsia" w:ascii="宋体" w:hAnsi="宋体" w:eastAsia="宋体" w:cs="宋体"/>
                      <w:i w:val="0"/>
                      <w:color w:val="575757"/>
                      <w:kern w:val="0"/>
                      <w:sz w:val="18"/>
                      <w:szCs w:val="18"/>
                      <w:u w:val="none"/>
                      <w:bdr w:val="none" w:color="auto" w:sz="0" w:space="0"/>
                      <w:lang w:val="en-US" w:eastAsia="zh-CN" w:bidi="ar"/>
                    </w:rPr>
                    <w:t>一、报考说明</w:t>
                  </w:r>
                  <w:r>
                    <w:rPr>
                      <w:rFonts w:hint="eastAsia" w:ascii="宋体" w:hAnsi="宋体" w:eastAsia="宋体" w:cs="宋体"/>
                      <w:i w:val="0"/>
                      <w:color w:val="575757"/>
                      <w:kern w:val="0"/>
                      <w:sz w:val="18"/>
                      <w:szCs w:val="18"/>
                      <w:u w:val="none"/>
                      <w:bdr w:val="none" w:color="auto" w:sz="0" w:space="0"/>
                      <w:lang w:val="en-US" w:eastAsia="zh-CN" w:bidi="ar"/>
                    </w:rPr>
                    <w:t>：接受地球物理或物理类本科毕业生报考。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二、专业介绍</w:t>
                  </w:r>
                  <w:r>
                    <w:rPr>
                      <w:rFonts w:hint="eastAsia" w:ascii="宋体" w:hAnsi="宋体" w:eastAsia="宋体" w:cs="宋体"/>
                      <w:i w:val="0"/>
                      <w:color w:val="575757"/>
                      <w:kern w:val="0"/>
                      <w:sz w:val="18"/>
                      <w:szCs w:val="18"/>
                      <w:u w:val="none"/>
                      <w:bdr w:val="none" w:color="auto" w:sz="0" w:space="0"/>
                      <w:lang w:val="en-US" w:eastAsia="zh-CN" w:bidi="ar"/>
                    </w:rPr>
                    <w:t>：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地球物理利用物理学的原理和方法研究从固体地球内核开始，往上包括电离层和磁层，直至太阳大气中的各种自然现象及其变化规律；并在此基础上优化和改善人类生存活动的环境，预防及减轻地球与空间灾害对人类的影响。本专业为国家一级重点学科，师资力量雄厚，有教授35人（其中院士3名，“千人计划”教授3名，“青年千人计划”教授9名，教育部“长江学者”特聘教授3名，国家杰出青年科学基金获得者6名），副教授18人。近年来科研成果丰硕，曾获得多项省部级奖励。尤其在研究生培养工作方面成绩显著，曾获2000、2005、2006和2009年的全国百篇优秀博士论文奖，及多项中科院院长特别奖和优秀博士论文奖。承担过多项国家自然科学基金创新研究群体、重大仪器、重点和面上项目以及科技部重点研发、重大科技专项等项目。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毕业生除相当一部分继续攻读博士外，主要去相关的科研院所，如中科院、地震局，开展工作。也有一部分去公司从事开发等工作。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三、研究方向及初试科目</w:t>
                  </w:r>
                  <w:r>
                    <w:rPr>
                      <w:rFonts w:hint="eastAsia" w:ascii="宋体" w:hAnsi="宋体" w:eastAsia="宋体" w:cs="宋体"/>
                      <w:i w:val="0"/>
                      <w:color w:val="575757"/>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591"/>
                    <w:gridCol w:w="4565"/>
                  </w:tblGrid>
                  <w:tr>
                    <w:tblPrEx>
                      <w:shd w:val="clear" w:color="auto" w:fill="CCCCCC"/>
                      <w:tblCellMar>
                        <w:top w:w="0" w:type="dxa"/>
                        <w:left w:w="0" w:type="dxa"/>
                        <w:bottom w:w="0" w:type="dxa"/>
                        <w:right w:w="0" w:type="dxa"/>
                      </w:tblCellMar>
                    </w:tblPrEx>
                    <w:trPr>
                      <w:tblCellSpacing w:w="7" w:type="dxa"/>
                    </w:trPr>
                    <w:tc>
                      <w:tcPr>
                        <w:tcW w:w="22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8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1、空间物理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2、固体地球物理</w:t>
                        </w:r>
                      </w:p>
                    </w:tc>
                    <w:tc>
                      <w:tcPr>
                        <w:tcW w:w="2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601高等数学B</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831普通物理</w:t>
                        </w:r>
                      </w:p>
                    </w:tc>
                  </w:tr>
                </w:tbl>
                <w:p>
                  <w:pPr>
                    <w:keepNext w:val="0"/>
                    <w:keepLines w:val="0"/>
                    <w:widowControl/>
                    <w:suppressLineNumbers w:val="0"/>
                    <w:jc w:val="left"/>
                  </w:pPr>
                  <w:r>
                    <w:rPr>
                      <w:rStyle w:val="4"/>
                      <w:rFonts w:hint="eastAsia" w:ascii="宋体" w:hAnsi="宋体" w:eastAsia="宋体" w:cs="宋体"/>
                      <w:i w:val="0"/>
                      <w:color w:val="575757"/>
                      <w:kern w:val="0"/>
                      <w:sz w:val="18"/>
                      <w:szCs w:val="18"/>
                      <w:u w:val="none"/>
                      <w:bdr w:val="none" w:color="auto" w:sz="0" w:space="0"/>
                      <w:lang w:val="en-US" w:eastAsia="zh-CN" w:bidi="ar"/>
                    </w:rPr>
                    <w:t>四、复试形式</w:t>
                  </w:r>
                  <w:r>
                    <w:rPr>
                      <w:rFonts w:hint="eastAsia" w:ascii="宋体" w:hAnsi="宋体" w:eastAsia="宋体" w:cs="宋体"/>
                      <w:i w:val="0"/>
                      <w:color w:val="575757"/>
                      <w:kern w:val="0"/>
                      <w:sz w:val="18"/>
                      <w:szCs w:val="18"/>
                      <w:u w:val="none"/>
                      <w:bdr w:val="none" w:color="auto" w:sz="0" w:space="0"/>
                      <w:lang w:val="en-US" w:eastAsia="zh-CN" w:bidi="ar"/>
                    </w:rPr>
                    <w:t>：笔试+面试。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五、复试内容</w:t>
                  </w:r>
                  <w:r>
                    <w:rPr>
                      <w:rFonts w:hint="eastAsia" w:ascii="宋体" w:hAnsi="宋体" w:eastAsia="宋体" w:cs="宋体"/>
                      <w:i w:val="0"/>
                      <w:color w:val="575757"/>
                      <w:kern w:val="0"/>
                      <w:sz w:val="18"/>
                      <w:szCs w:val="18"/>
                      <w:u w:val="none"/>
                      <w:bdr w:val="none" w:color="auto" w:sz="0" w:space="0"/>
                      <w:lang w:val="en-US" w:eastAsia="zh-CN" w:bidi="ar"/>
                    </w:rPr>
                    <w:t>：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笔试: 英语阅读能力考核,主要包括普通物理英文短文或短句的阅读理解。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面试: (1) 英语听说能力考核:侧重个人学术背景及能力；(2) 综合素质考核:侧重普通物理(力学、热学、电磁学）基础知识考核。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六、复试成绩</w:t>
                  </w:r>
                  <w:r>
                    <w:rPr>
                      <w:rFonts w:hint="eastAsia" w:ascii="宋体" w:hAnsi="宋体" w:eastAsia="宋体" w:cs="宋体"/>
                      <w:i w:val="0"/>
                      <w:color w:val="575757"/>
                      <w:kern w:val="0"/>
                      <w:sz w:val="18"/>
                      <w:szCs w:val="18"/>
                      <w:u w:val="none"/>
                      <w:bdr w:val="none" w:color="auto" w:sz="0" w:space="0"/>
                      <w:lang w:val="en-US" w:eastAsia="zh-CN" w:bidi="ar"/>
                    </w:rPr>
                    <w:t>：满分100分，为笔试成绩（满分40分）与面试成绩（满分60分）之和。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七、最终成绩</w:t>
                  </w:r>
                  <w:r>
                    <w:rPr>
                      <w:rFonts w:hint="eastAsia" w:ascii="宋体" w:hAnsi="宋体" w:eastAsia="宋体" w:cs="宋体"/>
                      <w:i w:val="0"/>
                      <w:color w:val="575757"/>
                      <w:kern w:val="0"/>
                      <w:sz w:val="18"/>
                      <w:szCs w:val="18"/>
                      <w:u w:val="none"/>
                      <w:bdr w:val="none" w:color="auto" w:sz="0" w:space="0"/>
                      <w:lang w:val="en-US" w:eastAsia="zh-CN" w:bidi="ar"/>
                    </w:rPr>
                    <w:t>：满分100分，复试成绩占比30%，即最终成绩=（初试成绩÷5）×70%+复试成绩×30%。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八、录取</w:t>
                  </w:r>
                  <w:r>
                    <w:rPr>
                      <w:rFonts w:hint="eastAsia" w:ascii="宋体" w:hAnsi="宋体" w:eastAsia="宋体" w:cs="宋体"/>
                      <w:i w:val="0"/>
                      <w:color w:val="575757"/>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九、调剂</w:t>
                  </w:r>
                  <w:r>
                    <w:rPr>
                      <w:rFonts w:hint="eastAsia" w:ascii="宋体" w:hAnsi="宋体" w:eastAsia="宋体" w:cs="宋体"/>
                      <w:i w:val="0"/>
                      <w:color w:val="575757"/>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十、学费标准</w:t>
                  </w:r>
                  <w:r>
                    <w:rPr>
                      <w:rFonts w:hint="eastAsia" w:ascii="宋体" w:hAnsi="宋体" w:eastAsia="宋体" w:cs="宋体"/>
                      <w:i w:val="0"/>
                      <w:color w:val="575757"/>
                      <w:kern w:val="0"/>
                      <w:sz w:val="18"/>
                      <w:szCs w:val="18"/>
                      <w:u w:val="none"/>
                      <w:bdr w:val="none" w:color="auto" w:sz="0" w:space="0"/>
                      <w:lang w:val="en-US" w:eastAsia="zh-CN" w:bidi="ar"/>
                    </w:rPr>
                    <w:t>：8000元/学年。 </w:t>
                  </w:r>
                </w:p>
              </w:tc>
            </w:tr>
          </w:tbl>
          <w:p>
            <w:pPr>
              <w:jc w:val="center"/>
              <w:rPr>
                <w:rFonts w:hint="eastAsia" w:ascii="微软雅黑" w:hAnsi="微软雅黑" w:eastAsia="微软雅黑" w:cs="微软雅黑"/>
                <w:i w:val="0"/>
                <w:caps w:val="0"/>
                <w:color w:val="000000"/>
                <w:spacing w:val="0"/>
                <w:sz w:val="27"/>
                <w:szCs w:val="27"/>
              </w:rPr>
            </w:pP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学科专业名称:地球物理学</w:t>
                  </w:r>
                  <w:r>
                    <w:rPr>
                      <w:rFonts w:hint="eastAsia" w:ascii="宋体" w:hAnsi="宋体" w:eastAsia="宋体" w:cs="宋体"/>
                      <w:b/>
                      <w:i w:val="0"/>
                      <w:color w:val="003399"/>
                      <w:kern w:val="0"/>
                      <w:sz w:val="18"/>
                      <w:szCs w:val="18"/>
                      <w:u w:val="none"/>
                      <w:bdr w:val="none" w:color="auto" w:sz="0" w:space="0"/>
                      <w:lang w:val="en-US" w:eastAsia="zh-CN" w:bidi="ar"/>
                    </w:rPr>
                    <w:t>(学科专业代码</w:t>
                  </w:r>
                  <w:r>
                    <w:rPr>
                      <w:rStyle w:val="4"/>
                      <w:rFonts w:hint="eastAsia" w:ascii="宋体" w:hAnsi="宋体" w:eastAsia="宋体" w:cs="宋体"/>
                      <w:i w:val="0"/>
                      <w:color w:val="003399"/>
                      <w:kern w:val="0"/>
                      <w:sz w:val="18"/>
                      <w:szCs w:val="18"/>
                      <w:u w:val="none"/>
                      <w:bdr w:val="none" w:color="auto" w:sz="0" w:space="0"/>
                      <w:lang w:val="en-US" w:eastAsia="zh-CN" w:bidi="ar"/>
                    </w:rPr>
                    <w:t>070800)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：接受地球物理或物理类本科毕业生报考。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地球物理利用物理学的原理和方法研究从固体地球内核开始，往上包括电离层和磁层，直至太阳大气中的各种自然现象及其变化规律；并在此基础上优化和改善人类生存活动的环境，预防及减轻地球与空间灾害对人类的影响。本专业为国家一级重点学科，师资力量雄厚，有教授35人（其中院士3名，“千人计划”教授3名，“青年千人计划”教授9名，教育部“长江学者”特聘教授3名，国家杰出青年科学基金获得者6名），副教授18人。近年来科研成果丰硕，曾获得多项省部级奖励。尤其在研究生培养工作方面成绩显著，曾获2000、2005、2006和2009年的全国百篇优秀博士论文奖，及多项中科院院长特别奖和优秀博士论文奖。承担过多项国家自然科学基金创新研究群体、重大仪器、重点和面上项目以及科技部重点研发、重大科技专项等项目。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毕业生除相当一部分继续攻读博士外，主要去相关的科研院所，如中科院、地震局，开展工作。也有一部分去公司从事开发等工作。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821"/>
              <w:gridCol w:w="6129"/>
            </w:tblGrid>
            <w:tr>
              <w:tblPrEx>
                <w:shd w:val="clear" w:color="auto" w:fill="CCCCCC"/>
                <w:tblCellMar>
                  <w:top w:w="0" w:type="dxa"/>
                  <w:left w:w="0" w:type="dxa"/>
                  <w:bottom w:w="0" w:type="dxa"/>
                  <w:right w:w="0" w:type="dxa"/>
                </w:tblCellMar>
              </w:tblPrEx>
              <w:trPr>
                <w:tblCellSpacing w:w="7" w:type="dxa"/>
              </w:trPr>
              <w:tc>
                <w:tcPr>
                  <w:tcW w:w="22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8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1、空间物理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2、固体地球物理</w:t>
                  </w:r>
                </w:p>
              </w:tc>
              <w:tc>
                <w:tcPr>
                  <w:tcW w:w="2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601高等数学B</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831普通物理</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 英语阅读能力考核,主要包括普通物理英文短文或短句的阅读理解。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 (1) 英语听说能力考核:侧重个人学术背景及能力；(2) 综合素质考核:侧重普通物理(力学、热学、电磁学）基础知识考核。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：满分100分，为笔试成绩（满分40分）与面试成绩（满分60分）之和。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：满分100分，复试成绩占比30%，即最终成绩=（初试成绩÷5）×70%+复试成绩×30%。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 </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学科专业名称:地质学</w:t>
                  </w:r>
                  <w:r>
                    <w:rPr>
                      <w:rFonts w:hint="eastAsia" w:ascii="宋体" w:hAnsi="宋体" w:eastAsia="宋体" w:cs="宋体"/>
                      <w:b/>
                      <w:i w:val="0"/>
                      <w:color w:val="003399"/>
                      <w:kern w:val="0"/>
                      <w:sz w:val="18"/>
                      <w:szCs w:val="18"/>
                      <w:u w:val="none"/>
                      <w:bdr w:val="none" w:color="auto" w:sz="0" w:space="0"/>
                      <w:lang w:val="en-US" w:eastAsia="zh-CN" w:bidi="ar"/>
                    </w:rPr>
                    <w:t>(学科专业代码</w:t>
                  </w:r>
                  <w:r>
                    <w:rPr>
                      <w:rStyle w:val="4"/>
                      <w:rFonts w:hint="eastAsia" w:ascii="宋体" w:hAnsi="宋体" w:eastAsia="宋体" w:cs="宋体"/>
                      <w:i w:val="0"/>
                      <w:color w:val="003399"/>
                      <w:kern w:val="0"/>
                      <w:sz w:val="18"/>
                      <w:szCs w:val="18"/>
                      <w:u w:val="none"/>
                      <w:bdr w:val="none" w:color="auto" w:sz="0" w:space="0"/>
                      <w:lang w:val="en-US" w:eastAsia="zh-CN" w:bidi="ar"/>
                    </w:rPr>
                    <w:t>070900)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：主要面向地质学、地球化学本科生招生。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地质学一级学科博士和硕士学位授予点，博士后流动站，安徽省重点学科。所包括的二级学科有地球化学、矿物学岩石学矿床学、构造地质学，其中地球化学是国家重点学科。主要应用地质学和地球化学理论和方法研究地球内部不同层圈的组成和结构及其演化规律，确定俯冲带和造山带形成和演化过程中各重要地质事件发生的时间顺序，示踪地球和行星上各种矿物岩石形成的物质来源和地球化学过程，探索在自然和实验室条件下各种矿物岩石之间化学反应的热力学过程和动力学机制。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主要研究领域有：化学地球动力学、同位素地球化学、实验地球化学、岩石地球化学、矿床地球化学、流体地球化学、矿物岩石学、沉积地质学等。师资力量雄厚，现有教授（博士生导师）19人（其中中国科学院院士1名，国家杰出青年科学基金获得者6名，“青年千人计划”教授3名），副教授9人。研究平台主要依托中国科学院壳幔物质与环境重点实验室。曾获国家自然科学二等奖2次、何梁何利科技进步奖2次、长江学者成就奖1次。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半数以上硕士研究生选择继续博士研究生学习（硕博连读或考试方式），其余主要到科教单位或政府部门任职，少数就职于与专业相关的实业单位。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750"/>
              <w:gridCol w:w="5200"/>
            </w:tblGrid>
            <w:tr>
              <w:tblPrEx>
                <w:shd w:val="clear" w:color="auto" w:fill="CCCCCC"/>
              </w:tblPrEx>
              <w:trPr>
                <w:tblCellSpacing w:w="7" w:type="dxa"/>
              </w:trPr>
              <w:tc>
                <w:tcPr>
                  <w:tcW w:w="260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35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1、化学地球动力学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2、同位素地球化学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3、生物地球化学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4、岩石地球化学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5、矿床地球化学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6、流体地球化学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7、矿物岩石学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8、沉积地质学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9、实验岩石学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10、生物矿物学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11、天体化学</w:t>
                  </w:r>
                </w:p>
              </w:tc>
              <w:tc>
                <w:tcPr>
                  <w:tcW w:w="2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623岩石学基础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805地质学基础</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 英语阅读能力考核,主要包括地球科学英文短文或短句的阅读理解。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 (1) 英语听说能力考核:侧重个人学术背景及能力；(2) 综合素质考核:侧重地质学和地球化学基础知识考核。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：满分100分，为笔试成绩（满分40分）与面试成绩（满分60分）之和。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：满分100分，复试成绩占比30%，即最终成绩=（初试成绩÷5）×70%+复试成绩×30%。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学科专业名称:环境科学与工程</w:t>
                  </w:r>
                  <w:r>
                    <w:rPr>
                      <w:rFonts w:hint="eastAsia" w:ascii="宋体" w:hAnsi="宋体" w:eastAsia="宋体" w:cs="宋体"/>
                      <w:b/>
                      <w:i w:val="0"/>
                      <w:color w:val="003399"/>
                      <w:kern w:val="0"/>
                      <w:sz w:val="18"/>
                      <w:szCs w:val="18"/>
                      <w:u w:val="none"/>
                      <w:bdr w:val="none" w:color="auto" w:sz="0" w:space="0"/>
                      <w:lang w:val="en-US" w:eastAsia="zh-CN" w:bidi="ar"/>
                    </w:rPr>
                    <w:t>(学科专业代码</w:t>
                  </w:r>
                  <w:r>
                    <w:rPr>
                      <w:rStyle w:val="4"/>
                      <w:rFonts w:hint="eastAsia" w:ascii="宋体" w:hAnsi="宋体" w:eastAsia="宋体" w:cs="宋体"/>
                      <w:i w:val="0"/>
                      <w:color w:val="003399"/>
                      <w:kern w:val="0"/>
                      <w:sz w:val="18"/>
                      <w:szCs w:val="18"/>
                      <w:u w:val="none"/>
                      <w:bdr w:val="none" w:color="auto" w:sz="0" w:space="0"/>
                      <w:lang w:val="en-US" w:eastAsia="zh-CN" w:bidi="ar"/>
                    </w:rPr>
                    <w:t>077600)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：接受环境科学、地球科学、化学、物理、生物相关专业考生报考。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环境科学是环境科学与工程的二级学科。现有教授8人（其中“千人计划”教授1名、国家杰出青年科学基金获得者2名、”青年千人”2名），副教授4人，是一支以年轻教师为主的师资队伍。目前本学科点已建立了国内环境科学专业具有明显优势和特色的“极地环境与全球变化”研究方向，还包括大气环境遥感监测与研究、城市和海洋大气环境化学、大气污染与气候变化及健康、环境地球化学、环境生态与毒理、环境与能源、地球生命环境演化、生物及仿生矿物学等。成立时间虽短，但在教学与科研方面取得了显著的成绩，自2012年起ESI排名进入全球机构排名前1%；连续两年有两篇环境科学领域的博士论文被评为“全国百篇优秀博士论文”；一篇博士学位论文被评为“中科院50篇优秀博士学位论文”；一人获教育部“高校优秀青年教师奖”；两人入选教育部“新世纪优秀人才支持计划”。近5年来，承担了多项国家自然科学基金项目、科技部863项目、973项目子课题等40多项。毕业生主要在国内外高校、研究所、公司或国家相关事业单位工作。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894"/>
              <w:gridCol w:w="9056"/>
            </w:tblGrid>
            <w:tr>
              <w:tblPrEx>
                <w:shd w:val="clear" w:color="auto" w:fill="CCCCCC"/>
              </w:tblPrEx>
              <w:trPr>
                <w:tblCellSpacing w:w="7" w:type="dxa"/>
              </w:trPr>
              <w:tc>
                <w:tcPr>
                  <w:tcW w:w="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4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1、环境科学</w:t>
                  </w:r>
                </w:p>
              </w:tc>
              <w:tc>
                <w:tcPr>
                  <w:tcW w:w="4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601高等数学B</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806地质学原理或820环境科学基础或847大气物理学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 英语阅读能力考核,主要包括环境科学英文短文或短句的阅读理解。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 (1) 英语听说能力考核:侧重个人学术背景及能力；(2) 综合素质考核:侧重环境科学基础知识考核。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：满分100分，为笔试成绩（满分40分）与面试成绩（满分60分）之和。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：满分100分，复试成绩占比30%，即最终成绩=（初试成绩÷5）×70%+复试成绩×30%。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学科专业名称:资源与环境</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085700)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：只接收推免生。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依托固体地球物理（国家重点学科）、地球化学（国家重点学科）和环境科学（省级重点学科）三大重点学科，以及中国科大矿床资源研究室、地球和空间科学学院环境保护研究实验室等，旨在为国家培养具有扎实的地质工程专业理论基础和应用基础的技术骨干。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本专业重点在以下方向开展应用性研究，培养工程应用专门人才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1、油气与固体矿产资源地球物理勘探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2、环境与工程地球物理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3、工程地震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4、灾害地球物理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5、城市地球物理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6、环境地质学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7、矿井地质与安全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8、矿山环境保护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9、环境地球化学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10、经济地质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本专业目前承担包括参加国家自然科学基金、重点科技攻关、国土资源部公益性专项、安徽省部分煤矿专项等研究项目，获得研究经费数百万元。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主要招收具有：固体地球物理学、应用地球物理学、环境科学与工程、地质学（包括岩石学、矿床学、地层学等）、地球化学、土壤学、化学和生物学，矿井地质与矿山安全等学科学士学位的有志于在上述研究方向开展应用性研究的应届和历届大学生，在学校期间将系统学习地质工程专业的理论基础和应用技术。毕业后可以在相关科研和生产单位从事研究和技术工作。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1、地质工程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学科专业名称:资源与环境（单考）</w:t>
                  </w:r>
                  <w:r>
                    <w:rPr>
                      <w:rFonts w:hint="eastAsia" w:ascii="宋体" w:hAnsi="宋体" w:eastAsia="宋体" w:cs="宋体"/>
                      <w:b/>
                      <w:i w:val="0"/>
                      <w:color w:val="003399"/>
                      <w:kern w:val="0"/>
                      <w:sz w:val="18"/>
                      <w:szCs w:val="18"/>
                      <w:u w:val="none"/>
                      <w:bdr w:val="none" w:color="auto" w:sz="0" w:space="0"/>
                      <w:lang w:val="en-US" w:eastAsia="zh-CN" w:bidi="ar"/>
                    </w:rPr>
                    <w:t>(学科专业代码</w:t>
                  </w:r>
                  <w:r>
                    <w:rPr>
                      <w:rStyle w:val="4"/>
                      <w:rFonts w:hint="eastAsia" w:ascii="宋体" w:hAnsi="宋体" w:eastAsia="宋体" w:cs="宋体"/>
                      <w:i w:val="0"/>
                      <w:color w:val="003399"/>
                      <w:kern w:val="0"/>
                      <w:sz w:val="18"/>
                      <w:szCs w:val="18"/>
                      <w:u w:val="none"/>
                      <w:bdr w:val="none" w:color="auto" w:sz="0" w:space="0"/>
                      <w:lang w:val="en-US" w:eastAsia="zh-CN" w:bidi="ar"/>
                    </w:rPr>
                    <w:t>085700)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只接收“单考”。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实行定向本工作单位在职培养。报考者须在符合教育部规定的研究生报考的基本条件之外，具备下列条件之一：（1）取得国家承认的大学本科学历后连续工作4年以上，业务优秀，已经发表过研究论文(技术报告)或者已经成为业务骨干；（2）或获硕士学位或博士学位后工作2年以上，业务优秀。两类报考者都须经所在单位同意和两名具有高级专业技术职称的专家推荐，并预先向招生单位申请。招生单位在正式报名前一周完成资格审查并公示，逾期不受理报名申请。考生通过申请后方可履行正式报名手续。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依托固体地球物理（国家重点学科）、地球化学（国家重点学科）和环境科学（省级重点学科）三大重点学科，以及中国科大矿床资源研究室、地球和空间科学学院环境保护研究实验室等，旨在为国家培养具有扎实的地质工程专业理论基础和应用基础的技术骨干。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本专业重点在以下方向开展应用性研究，培养工程应用专门人才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1、油气与固体矿产资源地球物理勘探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2、环境与工程地球物理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3、工程地震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4、灾害地球物理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5、城市地球物理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6、环境地质学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7、矿井地质与安全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8、矿山环境保护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9、环境地球化学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10、经济地质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本专业目前承担包括参加国家自然科学基金、重点科技攻关、国土资源部公益性专项、安徽省部分煤矿专项等研究项目，获得研究经费数百万元。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主要招收具有：固体地球物理学、应用地球物理学、环境科学与工程、地质学（包括岩石学、矿床学、地层学等）、地球化学、土壤学、化学和生物学，矿井地质与矿山安全等学科学士学位的有志于在上述研究方向开展应用性研究的历届大学生，在学校期间将系统学习地质工程专业的理论基础和应用技术。毕业后可以在相关科研和生产单位从事研究和技术工作。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657"/>
              <w:gridCol w:w="7293"/>
            </w:tblGrid>
            <w:tr>
              <w:tblPrEx>
                <w:shd w:val="clear" w:color="auto" w:fill="CCCCCC"/>
                <w:tblCellMar>
                  <w:top w:w="0" w:type="dxa"/>
                  <w:left w:w="0" w:type="dxa"/>
                  <w:bottom w:w="0" w:type="dxa"/>
                  <w:right w:w="0" w:type="dxa"/>
                </w:tblCellMar>
              </w:tblPrEx>
              <w:trPr>
                <w:tblCellSpacing w:w="7" w:type="dxa"/>
              </w:trPr>
              <w:tc>
                <w:tcPr>
                  <w:tcW w:w="16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3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1、地质工程</w:t>
                  </w:r>
                </w:p>
              </w:tc>
              <w:tc>
                <w:tcPr>
                  <w:tcW w:w="33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111单独考试思想政治理论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240英语（单考）</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630高等数学（单考）</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881普通物理（单考）</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笔试：英语阅读能力考核,主要包括普通物理英文短文或短句的阅读理解。</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面试：（1）英语听说能力考核：侧重个人学术背景及能力；（2）综合素质考核：侧重普通物理（力学、热学、电磁学）基础知识考核。</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：满分100分，为笔试成绩（满分40分）与面试成绩（满分60分）之和。</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：满分100分，复试成绩占比30%，即最终成绩=（初试成绩÷5）×70%+复试成绩×30%。</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：本专业不接收调剂。</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：共计3万元，第一学年初缴清。</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F3E16"/>
    <w:rsid w:val="157F3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2019-12-03T09:31:00Z</dcterms:created>
  <dc:creator>Administrator</dc:creator>
  <cp:lastModifiedBy>Administrator</cp:lastModifiedBy>
  <dcterms:modified xsi:type="dcterms:W3CDTF">2019-12-03T09:32:30Z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