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rPr>
      </w:pPr>
      <w:bookmarkStart w:id="0" w:name="_GoBack"/>
      <w:r>
        <w:rPr>
          <w:rFonts w:hint="eastAsia"/>
          <w:sz w:val="52"/>
          <w:szCs w:val="52"/>
        </w:rPr>
        <w:t>工程科学学院</w:t>
      </w:r>
    </w:p>
    <w:bookmarkEnd w:id="0"/>
    <w:p>
      <w:pPr>
        <w:rPr>
          <w:rFonts w:hint="eastAsia"/>
        </w:rPr>
      </w:pPr>
    </w:p>
    <w:tbl>
      <w:tblPr>
        <w:tblpPr w:vertAnchor="text" w:tblpXSpec="right"/>
        <w:tblW w:w="0" w:type="auto"/>
        <w:tblCellSpacing w:w="0" w:type="dxa"/>
        <w:tblInd w:w="0" w:type="dxa"/>
        <w:shd w:val="clear" w:color="auto" w:fill="FFFFFF"/>
        <w:tblLayout w:type="autofit"/>
        <w:tblCellMar>
          <w:top w:w="0" w:type="dxa"/>
          <w:left w:w="0" w:type="dxa"/>
          <w:bottom w:w="0" w:type="dxa"/>
          <w:right w:w="0" w:type="dxa"/>
        </w:tblCellMar>
      </w:tblPr>
      <w:tblGrid>
        <w:gridCol w:w="8306"/>
      </w:tblGrid>
      <w:tr>
        <w:tblPrEx>
          <w:shd w:val="clear" w:color="auto" w:fill="FFFFFF"/>
          <w:tblCellMar>
            <w:top w:w="0" w:type="dxa"/>
            <w:left w:w="0" w:type="dxa"/>
            <w:bottom w:w="0" w:type="dxa"/>
            <w:right w:w="0" w:type="dxa"/>
          </w:tblCellMar>
        </w:tblPrEx>
        <w:trPr>
          <w:tblCellSpacing w:w="0" w:type="dxa"/>
        </w:trPr>
        <w:tc>
          <w:tcPr>
            <w:tcW w:w="0" w:type="auto"/>
            <w:tcBorders>
              <w:bottom w:val="single" w:color="D8D8D8" w:sz="6" w:space="0"/>
            </w:tcBorders>
            <w:shd w:val="clear" w:color="auto" w:fill="FFFFFF"/>
            <w:vAlign w:val="center"/>
          </w:tcPr>
          <w:tbl>
            <w:tblPr>
              <w:tblW w:w="11100" w:type="dxa"/>
              <w:tblCellSpacing w:w="0" w:type="dxa"/>
              <w:tblInd w:w="0" w:type="dxa"/>
              <w:shd w:val="clear"/>
              <w:tblLayout w:type="autofit"/>
              <w:tblCellMar>
                <w:top w:w="0" w:type="dxa"/>
                <w:left w:w="0" w:type="dxa"/>
                <w:bottom w:w="0" w:type="dxa"/>
                <w:right w:w="0" w:type="dxa"/>
              </w:tblCellMar>
            </w:tblPr>
            <w:tblGrid>
              <w:gridCol w:w="11100"/>
            </w:tblGrid>
            <w:tr>
              <w:tblPrEx>
                <w:shd w:val="clear"/>
              </w:tblPrEx>
              <w:trPr>
                <w:trHeight w:val="375" w:hRule="atLeast"/>
                <w:tblCellSpacing w:w="0" w:type="dxa"/>
              </w:trPr>
              <w:tc>
                <w:tcPr>
                  <w:tcW w:w="0" w:type="auto"/>
                  <w:shd w:val="clear" w:color="auto" w:fill="EFEFEF"/>
                  <w:tcMar>
                    <w:left w:w="150" w:type="dxa"/>
                  </w:tcMar>
                  <w:vAlign w:val="center"/>
                </w:tcPr>
                <w:p>
                  <w:pPr>
                    <w:keepNext w:val="0"/>
                    <w:keepLines w:val="0"/>
                    <w:widowControl/>
                    <w:suppressLineNumbers w:val="0"/>
                    <w:shd w:val="clear" w:fill="EFEFEF"/>
                    <w:spacing w:line="330" w:lineRule="atLeast"/>
                    <w:jc w:val="left"/>
                    <w:rPr>
                      <w:rFonts w:hint="eastAsia" w:ascii="宋体" w:hAnsi="宋体" w:eastAsia="宋体" w:cs="宋体"/>
                      <w:b/>
                      <w:i w:val="0"/>
                      <w:color w:val="666666"/>
                      <w:sz w:val="18"/>
                      <w:szCs w:val="18"/>
                      <w:u w:val="none"/>
                    </w:rPr>
                  </w:pPr>
                  <w:r>
                    <w:rPr>
                      <w:rFonts w:hint="eastAsia" w:ascii="宋体" w:hAnsi="宋体" w:eastAsia="宋体" w:cs="宋体"/>
                      <w:b/>
                      <w:i w:val="0"/>
                      <w:color w:val="666666"/>
                      <w:kern w:val="0"/>
                      <w:sz w:val="18"/>
                      <w:szCs w:val="18"/>
                      <w:u w:val="none"/>
                      <w:bdr w:val="none" w:color="auto" w:sz="0" w:space="0"/>
                      <w:lang w:val="en-US" w:eastAsia="zh-CN" w:bidi="ar"/>
                    </w:rPr>
                    <w:t>工程科学学院包含以下专业：</w:t>
                  </w:r>
                </w:p>
              </w:tc>
            </w:tr>
            <w:tr>
              <w:tblPrEx>
                <w:shd w:val="clear"/>
                <w:tblCellMar>
                  <w:top w:w="0" w:type="dxa"/>
                  <w:left w:w="0" w:type="dxa"/>
                  <w:bottom w:w="0" w:type="dxa"/>
                  <w:right w:w="0" w:type="dxa"/>
                </w:tblCellMar>
              </w:tblPrEx>
              <w:trPr>
                <w:trHeight w:val="121" w:hRule="atLeast"/>
                <w:tblCellSpacing w:w="0" w:type="dxa"/>
              </w:trPr>
              <w:tc>
                <w:tcPr>
                  <w:tcW w:w="0" w:type="auto"/>
                  <w:shd w:val="clear"/>
                  <w:vAlign w:val="center"/>
                </w:tcPr>
                <w:p>
                  <w:pPr>
                    <w:rPr>
                      <w:rFonts w:hint="eastAsia" w:ascii="宋体"/>
                      <w:sz w:val="24"/>
                      <w:szCs w:val="24"/>
                    </w:rPr>
                  </w:pPr>
                </w:p>
              </w:tc>
            </w:tr>
          </w:tbl>
          <w:p>
            <w:pPr>
              <w:rPr>
                <w:vanish/>
                <w:sz w:val="24"/>
                <w:szCs w:val="24"/>
              </w:rPr>
            </w:pPr>
          </w:p>
          <w:tbl>
            <w:tblPr>
              <w:tblW w:w="0" w:type="auto"/>
              <w:tblCellSpacing w:w="0" w:type="dxa"/>
              <w:tblInd w:w="0" w:type="dxa"/>
              <w:shd w:val="clear"/>
              <w:tblLayout w:type="autofit"/>
              <w:tblCellMar>
                <w:top w:w="0" w:type="dxa"/>
                <w:left w:w="0" w:type="dxa"/>
                <w:bottom w:w="0" w:type="dxa"/>
                <w:right w:w="0" w:type="dxa"/>
              </w:tblCellMar>
            </w:tblPr>
            <w:tblGrid>
              <w:gridCol w:w="803"/>
              <w:gridCol w:w="1473"/>
              <w:gridCol w:w="1072"/>
              <w:gridCol w:w="1072"/>
              <w:gridCol w:w="2010"/>
              <w:gridCol w:w="804"/>
              <w:gridCol w:w="1072"/>
            </w:tblGrid>
            <w:tr>
              <w:tblPrEx>
                <w:tblCellMar>
                  <w:top w:w="0" w:type="dxa"/>
                  <w:left w:w="0" w:type="dxa"/>
                  <w:bottom w:w="0" w:type="dxa"/>
                  <w:right w:w="0" w:type="dxa"/>
                </w:tblCellMar>
              </w:tblPrEx>
              <w:trPr>
                <w:tblCellSpacing w:w="0" w:type="dxa"/>
              </w:trPr>
              <w:tc>
                <w:tcPr>
                  <w:tcW w:w="900" w:type="dxa"/>
                  <w:shd w:val="clear"/>
                  <w:vAlign w:val="center"/>
                </w:tcPr>
                <w:tbl>
                  <w:tblPr>
                    <w:tblW w:w="900" w:type="dxa"/>
                    <w:tblCellSpacing w:w="0" w:type="dxa"/>
                    <w:tblInd w:w="0" w:type="dxa"/>
                    <w:shd w:val="clear"/>
                    <w:tblLayout w:type="autofit"/>
                    <w:tblCellMar>
                      <w:top w:w="0" w:type="dxa"/>
                      <w:left w:w="0" w:type="dxa"/>
                      <w:bottom w:w="0" w:type="dxa"/>
                      <w:right w:w="0" w:type="dxa"/>
                    </w:tblCellMar>
                  </w:tblPr>
                  <w:tblGrid>
                    <w:gridCol w:w="900"/>
                  </w:tblGrid>
                  <w:tr>
                    <w:tblPrEx>
                      <w:shd w:val="clear"/>
                    </w:tblPrEx>
                    <w:trPr>
                      <w:tblCellSpacing w:w="0" w:type="dxa"/>
                    </w:trPr>
                    <w:tc>
                      <w:tcPr>
                        <w:tcW w:w="1500" w:type="dxa"/>
                        <w:shd w:val="clear"/>
                        <w:tcMar>
                          <w:left w:w="300" w:type="dxa"/>
                        </w:tcMar>
                        <w:vAlign w:val="center"/>
                      </w:tcPr>
                      <w:p>
                        <w:pPr>
                          <w:keepNext w:val="0"/>
                          <w:keepLines w:val="0"/>
                          <w:widowControl/>
                          <w:suppressLineNumbers w:val="0"/>
                          <w:spacing w:line="330" w:lineRule="atLeast"/>
                          <w:jc w:val="left"/>
                          <w:rPr>
                            <w:rFonts w:hint="eastAsia" w:ascii="宋体" w:hAnsi="宋体" w:eastAsia="宋体" w:cs="宋体"/>
                            <w:i w:val="0"/>
                            <w:color w:val="FFFFFF"/>
                            <w:sz w:val="18"/>
                            <w:szCs w:val="18"/>
                            <w:u w:val="none"/>
                          </w:rPr>
                        </w:pPr>
                        <w:r>
                          <w:rPr>
                            <w:rFonts w:hint="eastAsia" w:ascii="宋体" w:hAnsi="宋体" w:eastAsia="宋体" w:cs="宋体"/>
                            <w:i w:val="0"/>
                            <w:color w:val="FFFFFF"/>
                            <w:kern w:val="0"/>
                            <w:sz w:val="18"/>
                            <w:szCs w:val="18"/>
                            <w:u w:val="none"/>
                            <w:bdr w:val="none" w:color="auto" w:sz="0" w:space="0"/>
                            <w:lang w:val="en-US" w:eastAsia="zh-CN" w:bidi="ar"/>
                          </w:rPr>
                          <w:t>力学</w:t>
                        </w:r>
                      </w:p>
                    </w:tc>
                  </w:tr>
                </w:tbl>
                <w:p>
                  <w:pPr>
                    <w:spacing w:line="330" w:lineRule="atLeast"/>
                    <w:jc w:val="left"/>
                  </w:pPr>
                </w:p>
              </w:tc>
              <w:tc>
                <w:tcPr>
                  <w:tcW w:w="1650" w:type="dxa"/>
                  <w:shd w:val="clear"/>
                  <w:vAlign w:val="center"/>
                </w:tcPr>
                <w:tbl>
                  <w:tblPr>
                    <w:tblW w:w="1650" w:type="dxa"/>
                    <w:tblCellSpacing w:w="0" w:type="dxa"/>
                    <w:tblInd w:w="0" w:type="dxa"/>
                    <w:shd w:val="clear"/>
                    <w:tblLayout w:type="autofit"/>
                    <w:tblCellMar>
                      <w:top w:w="0" w:type="dxa"/>
                      <w:left w:w="0" w:type="dxa"/>
                      <w:bottom w:w="0" w:type="dxa"/>
                      <w:right w:w="0" w:type="dxa"/>
                    </w:tblCellMar>
                  </w:tblPr>
                  <w:tblGrid>
                    <w:gridCol w:w="1650"/>
                  </w:tblGrid>
                  <w:tr>
                    <w:tblPrEx>
                      <w:tblCellMar>
                        <w:top w:w="0" w:type="dxa"/>
                        <w:left w:w="0" w:type="dxa"/>
                        <w:bottom w:w="0" w:type="dxa"/>
                        <w:right w:w="0" w:type="dxa"/>
                      </w:tblCellMar>
                    </w:tblPrEx>
                    <w:trPr>
                      <w:tblCellSpacing w:w="0" w:type="dxa"/>
                    </w:trPr>
                    <w:tc>
                      <w:tcPr>
                        <w:tcW w:w="1500" w:type="dxa"/>
                        <w:shd w:val="clear"/>
                        <w:tcMar>
                          <w:left w:w="300" w:type="dxa"/>
                        </w:tcMar>
                        <w:vAlign w:val="center"/>
                      </w:tcPr>
                      <w:p>
                        <w:pPr>
                          <w:keepNext w:val="0"/>
                          <w:keepLines w:val="0"/>
                          <w:widowControl/>
                          <w:suppressLineNumbers w:val="0"/>
                          <w:spacing w:line="330" w:lineRule="atLeast"/>
                          <w:jc w:val="left"/>
                          <w:rPr>
                            <w:rFonts w:hint="eastAsia" w:ascii="宋体" w:hAnsi="宋体" w:eastAsia="宋体" w:cs="宋体"/>
                            <w:i w:val="0"/>
                            <w:color w:val="838282"/>
                            <w:sz w:val="18"/>
                            <w:szCs w:val="18"/>
                            <w:u w:val="none"/>
                          </w:rPr>
                        </w:pPr>
                        <w:r>
                          <w:rPr>
                            <w:rFonts w:hint="eastAsia" w:ascii="宋体" w:hAnsi="宋体" w:eastAsia="宋体" w:cs="宋体"/>
                            <w:i w:val="0"/>
                            <w:color w:val="838282"/>
                            <w:kern w:val="0"/>
                            <w:sz w:val="18"/>
                            <w:szCs w:val="18"/>
                            <w:u w:val="none"/>
                            <w:bdr w:val="none" w:color="auto" w:sz="0" w:space="0"/>
                            <w:lang w:val="en-US" w:eastAsia="zh-CN" w:bidi="ar"/>
                          </w:rPr>
                          <w:t>仪器科学与技术</w:t>
                        </w:r>
                      </w:p>
                    </w:tc>
                  </w:tr>
                </w:tbl>
                <w:p>
                  <w:pPr>
                    <w:spacing w:line="330" w:lineRule="atLeast"/>
                    <w:jc w:val="left"/>
                  </w:pPr>
                </w:p>
              </w:tc>
              <w:tc>
                <w:tcPr>
                  <w:tcW w:w="1200" w:type="dxa"/>
                  <w:shd w:val="clear"/>
                  <w:vAlign w:val="center"/>
                </w:tcPr>
                <w:tbl>
                  <w:tblPr>
                    <w:tblW w:w="1200" w:type="dxa"/>
                    <w:tblCellSpacing w:w="0" w:type="dxa"/>
                    <w:tblInd w:w="0" w:type="dxa"/>
                    <w:shd w:val="clear"/>
                    <w:tblLayout w:type="autofit"/>
                    <w:tblCellMar>
                      <w:top w:w="0" w:type="dxa"/>
                      <w:left w:w="0" w:type="dxa"/>
                      <w:bottom w:w="0" w:type="dxa"/>
                      <w:right w:w="0" w:type="dxa"/>
                    </w:tblCellMar>
                  </w:tblPr>
                  <w:tblGrid>
                    <w:gridCol w:w="1200"/>
                  </w:tblGrid>
                  <w:tr>
                    <w:tblPrEx>
                      <w:tblCellMar>
                        <w:top w:w="0" w:type="dxa"/>
                        <w:left w:w="0" w:type="dxa"/>
                        <w:bottom w:w="0" w:type="dxa"/>
                        <w:right w:w="0" w:type="dxa"/>
                      </w:tblCellMar>
                    </w:tblPrEx>
                    <w:trPr>
                      <w:tblCellSpacing w:w="0" w:type="dxa"/>
                    </w:trPr>
                    <w:tc>
                      <w:tcPr>
                        <w:tcW w:w="2250" w:type="dxa"/>
                        <w:shd w:val="clear"/>
                        <w:tcMar>
                          <w:left w:w="300" w:type="dxa"/>
                        </w:tcMar>
                        <w:vAlign w:val="center"/>
                      </w:tcPr>
                      <w:p>
                        <w:pPr>
                          <w:keepNext w:val="0"/>
                          <w:keepLines w:val="0"/>
                          <w:widowControl/>
                          <w:suppressLineNumbers w:val="0"/>
                          <w:spacing w:line="330" w:lineRule="atLeast"/>
                          <w:jc w:val="left"/>
                          <w:rPr>
                            <w:rFonts w:hint="eastAsia" w:ascii="宋体" w:hAnsi="宋体" w:eastAsia="宋体" w:cs="宋体"/>
                            <w:i w:val="0"/>
                            <w:color w:val="838282"/>
                            <w:sz w:val="18"/>
                            <w:szCs w:val="18"/>
                            <w:u w:val="none"/>
                          </w:rPr>
                        </w:pPr>
                        <w:r>
                          <w:rPr>
                            <w:rFonts w:hint="eastAsia" w:ascii="宋体" w:hAnsi="宋体" w:eastAsia="宋体" w:cs="宋体"/>
                            <w:i w:val="0"/>
                            <w:color w:val="838282"/>
                            <w:kern w:val="0"/>
                            <w:sz w:val="18"/>
                            <w:szCs w:val="18"/>
                            <w:u w:val="none"/>
                            <w:bdr w:val="none" w:color="auto" w:sz="0" w:space="0"/>
                            <w:lang w:val="en-US" w:eastAsia="zh-CN" w:bidi="ar"/>
                          </w:rPr>
                          <w:t>机械工程</w:t>
                        </w:r>
                      </w:p>
                    </w:tc>
                  </w:tr>
                </w:tbl>
                <w:p>
                  <w:pPr>
                    <w:spacing w:line="330" w:lineRule="atLeast"/>
                    <w:jc w:val="left"/>
                  </w:pPr>
                </w:p>
              </w:tc>
              <w:tc>
                <w:tcPr>
                  <w:tcW w:w="1200" w:type="dxa"/>
                  <w:shd w:val="clear"/>
                  <w:vAlign w:val="center"/>
                </w:tcPr>
                <w:tbl>
                  <w:tblPr>
                    <w:tblW w:w="1200" w:type="dxa"/>
                    <w:tblCellSpacing w:w="0" w:type="dxa"/>
                    <w:tblInd w:w="0" w:type="dxa"/>
                    <w:shd w:val="clear"/>
                    <w:tblLayout w:type="autofit"/>
                    <w:tblCellMar>
                      <w:top w:w="0" w:type="dxa"/>
                      <w:left w:w="0" w:type="dxa"/>
                      <w:bottom w:w="0" w:type="dxa"/>
                      <w:right w:w="0" w:type="dxa"/>
                    </w:tblCellMar>
                  </w:tblPr>
                  <w:tblGrid>
                    <w:gridCol w:w="1200"/>
                  </w:tblGrid>
                  <w:tr>
                    <w:tblPrEx>
                      <w:shd w:val="clear"/>
                    </w:tblPrEx>
                    <w:trPr>
                      <w:tblCellSpacing w:w="0" w:type="dxa"/>
                    </w:trPr>
                    <w:tc>
                      <w:tcPr>
                        <w:tcW w:w="2250" w:type="dxa"/>
                        <w:shd w:val="clear"/>
                        <w:tcMar>
                          <w:left w:w="300" w:type="dxa"/>
                        </w:tcMar>
                        <w:vAlign w:val="center"/>
                      </w:tcPr>
                      <w:p>
                        <w:pPr>
                          <w:keepNext w:val="0"/>
                          <w:keepLines w:val="0"/>
                          <w:widowControl/>
                          <w:suppressLineNumbers w:val="0"/>
                          <w:spacing w:line="330" w:lineRule="atLeast"/>
                          <w:jc w:val="left"/>
                          <w:rPr>
                            <w:rFonts w:hint="eastAsia" w:ascii="宋体" w:hAnsi="宋体" w:eastAsia="宋体" w:cs="宋体"/>
                            <w:i w:val="0"/>
                            <w:color w:val="838282"/>
                            <w:sz w:val="18"/>
                            <w:szCs w:val="18"/>
                            <w:u w:val="none"/>
                          </w:rPr>
                        </w:pPr>
                        <w:r>
                          <w:rPr>
                            <w:rFonts w:hint="eastAsia" w:ascii="宋体" w:hAnsi="宋体" w:eastAsia="宋体" w:cs="宋体"/>
                            <w:i w:val="0"/>
                            <w:color w:val="838282"/>
                            <w:kern w:val="0"/>
                            <w:sz w:val="18"/>
                            <w:szCs w:val="18"/>
                            <w:u w:val="none"/>
                            <w:bdr w:val="none" w:color="auto" w:sz="0" w:space="0"/>
                            <w:lang w:val="en-US" w:eastAsia="zh-CN" w:bidi="ar"/>
                          </w:rPr>
                          <w:t>电子信息</w:t>
                        </w:r>
                      </w:p>
                    </w:tc>
                  </w:tr>
                </w:tbl>
                <w:p>
                  <w:pPr>
                    <w:spacing w:line="330" w:lineRule="atLeast"/>
                    <w:jc w:val="left"/>
                  </w:pPr>
                </w:p>
              </w:tc>
              <w:tc>
                <w:tcPr>
                  <w:tcW w:w="2250" w:type="dxa"/>
                  <w:shd w:val="clear"/>
                  <w:vAlign w:val="center"/>
                </w:tcPr>
                <w:tbl>
                  <w:tblPr>
                    <w:tblW w:w="2250" w:type="dxa"/>
                    <w:tblCellSpacing w:w="0" w:type="dxa"/>
                    <w:tblInd w:w="0" w:type="dxa"/>
                    <w:shd w:val="clear"/>
                    <w:tblLayout w:type="autofit"/>
                    <w:tblCellMar>
                      <w:top w:w="0" w:type="dxa"/>
                      <w:left w:w="0" w:type="dxa"/>
                      <w:bottom w:w="0" w:type="dxa"/>
                      <w:right w:w="0" w:type="dxa"/>
                    </w:tblCellMar>
                  </w:tblPr>
                  <w:tblGrid>
                    <w:gridCol w:w="2250"/>
                  </w:tblGrid>
                  <w:tr>
                    <w:trPr>
                      <w:tblCellSpacing w:w="0" w:type="dxa"/>
                    </w:trPr>
                    <w:tc>
                      <w:tcPr>
                        <w:tcW w:w="2250" w:type="dxa"/>
                        <w:shd w:val="clear"/>
                        <w:tcMar>
                          <w:left w:w="300" w:type="dxa"/>
                        </w:tcMar>
                        <w:vAlign w:val="center"/>
                      </w:tcPr>
                      <w:p>
                        <w:pPr>
                          <w:keepNext w:val="0"/>
                          <w:keepLines w:val="0"/>
                          <w:widowControl/>
                          <w:suppressLineNumbers w:val="0"/>
                          <w:spacing w:line="330" w:lineRule="atLeast"/>
                          <w:jc w:val="left"/>
                          <w:rPr>
                            <w:rFonts w:hint="eastAsia" w:ascii="宋体" w:hAnsi="宋体" w:eastAsia="宋体" w:cs="宋体"/>
                            <w:i w:val="0"/>
                            <w:color w:val="838282"/>
                            <w:sz w:val="18"/>
                            <w:szCs w:val="18"/>
                            <w:u w:val="none"/>
                          </w:rPr>
                        </w:pPr>
                        <w:r>
                          <w:rPr>
                            <w:rFonts w:hint="eastAsia" w:ascii="宋体" w:hAnsi="宋体" w:eastAsia="宋体" w:cs="宋体"/>
                            <w:i w:val="0"/>
                            <w:color w:val="838282"/>
                            <w:kern w:val="0"/>
                            <w:sz w:val="18"/>
                            <w:szCs w:val="18"/>
                            <w:u w:val="none"/>
                            <w:bdr w:val="none" w:color="auto" w:sz="0" w:space="0"/>
                            <w:lang w:val="en-US" w:eastAsia="zh-CN" w:bidi="ar"/>
                          </w:rPr>
                          <w:t>动力工程及工程热物理</w:t>
                        </w:r>
                      </w:p>
                    </w:tc>
                  </w:tr>
                </w:tbl>
                <w:p>
                  <w:pPr>
                    <w:spacing w:line="330" w:lineRule="atLeast"/>
                    <w:jc w:val="left"/>
                  </w:pPr>
                </w:p>
              </w:tc>
              <w:tc>
                <w:tcPr>
                  <w:tcW w:w="900" w:type="dxa"/>
                  <w:shd w:val="clear"/>
                  <w:vAlign w:val="center"/>
                </w:tcPr>
                <w:tbl>
                  <w:tblPr>
                    <w:tblW w:w="900" w:type="dxa"/>
                    <w:tblCellSpacing w:w="0" w:type="dxa"/>
                    <w:tblInd w:w="0" w:type="dxa"/>
                    <w:shd w:val="clear"/>
                    <w:tblLayout w:type="autofit"/>
                    <w:tblCellMar>
                      <w:top w:w="0" w:type="dxa"/>
                      <w:left w:w="0" w:type="dxa"/>
                      <w:bottom w:w="0" w:type="dxa"/>
                      <w:right w:w="0" w:type="dxa"/>
                    </w:tblCellMar>
                  </w:tblPr>
                  <w:tblGrid>
                    <w:gridCol w:w="900"/>
                  </w:tblGrid>
                  <w:tr>
                    <w:tblPrEx>
                      <w:tblCellMar>
                        <w:top w:w="0" w:type="dxa"/>
                        <w:left w:w="0" w:type="dxa"/>
                        <w:bottom w:w="0" w:type="dxa"/>
                        <w:right w:w="0" w:type="dxa"/>
                      </w:tblCellMar>
                    </w:tblPrEx>
                    <w:trPr>
                      <w:tblCellSpacing w:w="0" w:type="dxa"/>
                    </w:trPr>
                    <w:tc>
                      <w:tcPr>
                        <w:tcW w:w="900" w:type="dxa"/>
                        <w:shd w:val="clear"/>
                        <w:tcMar>
                          <w:left w:w="300" w:type="dxa"/>
                        </w:tcMar>
                        <w:vAlign w:val="center"/>
                      </w:tcPr>
                      <w:p>
                        <w:pPr>
                          <w:keepNext w:val="0"/>
                          <w:keepLines w:val="0"/>
                          <w:widowControl/>
                          <w:suppressLineNumbers w:val="0"/>
                          <w:spacing w:line="330" w:lineRule="atLeast"/>
                          <w:jc w:val="left"/>
                          <w:rPr>
                            <w:rFonts w:hint="eastAsia" w:ascii="宋体" w:hAnsi="宋体" w:eastAsia="宋体" w:cs="宋体"/>
                            <w:i w:val="0"/>
                            <w:color w:val="838282"/>
                            <w:sz w:val="18"/>
                            <w:szCs w:val="18"/>
                            <w:u w:val="none"/>
                          </w:rPr>
                        </w:pPr>
                        <w:r>
                          <w:rPr>
                            <w:rFonts w:hint="eastAsia" w:ascii="宋体" w:hAnsi="宋体" w:eastAsia="宋体" w:cs="宋体"/>
                            <w:i w:val="0"/>
                            <w:color w:val="838282"/>
                            <w:kern w:val="0"/>
                            <w:sz w:val="18"/>
                            <w:szCs w:val="18"/>
                            <w:u w:val="none"/>
                            <w:bdr w:val="none" w:color="auto" w:sz="0" w:space="0"/>
                            <w:lang w:val="en-US" w:eastAsia="zh-CN" w:bidi="ar"/>
                          </w:rPr>
                          <w:t>机械</w:t>
                        </w:r>
                      </w:p>
                    </w:tc>
                  </w:tr>
                </w:tbl>
                <w:p>
                  <w:pPr>
                    <w:spacing w:line="330" w:lineRule="atLeast"/>
                    <w:jc w:val="left"/>
                  </w:pPr>
                </w:p>
              </w:tc>
              <w:tc>
                <w:tcPr>
                  <w:tcW w:w="900" w:type="dxa"/>
                  <w:shd w:val="clear"/>
                  <w:vAlign w:val="center"/>
                </w:tcPr>
                <w:tbl>
                  <w:tblPr>
                    <w:tblW w:w="1200" w:type="dxa"/>
                    <w:tblCellSpacing w:w="0" w:type="dxa"/>
                    <w:tblInd w:w="0" w:type="dxa"/>
                    <w:shd w:val="clear"/>
                    <w:tblLayout w:type="autofit"/>
                    <w:tblCellMar>
                      <w:top w:w="0" w:type="dxa"/>
                      <w:left w:w="0" w:type="dxa"/>
                      <w:bottom w:w="0" w:type="dxa"/>
                      <w:right w:w="0" w:type="dxa"/>
                    </w:tblCellMar>
                  </w:tblPr>
                  <w:tblGrid>
                    <w:gridCol w:w="1200"/>
                  </w:tblGrid>
                  <w:tr>
                    <w:tblPrEx>
                      <w:tblCellMar>
                        <w:top w:w="0" w:type="dxa"/>
                        <w:left w:w="0" w:type="dxa"/>
                        <w:bottom w:w="0" w:type="dxa"/>
                        <w:right w:w="0" w:type="dxa"/>
                      </w:tblCellMar>
                    </w:tblPrEx>
                    <w:trPr>
                      <w:tblCellSpacing w:w="0" w:type="dxa"/>
                    </w:trPr>
                    <w:tc>
                      <w:tcPr>
                        <w:tcW w:w="2250" w:type="dxa"/>
                        <w:shd w:val="clear"/>
                        <w:tcMar>
                          <w:left w:w="300" w:type="dxa"/>
                        </w:tcMar>
                        <w:vAlign w:val="center"/>
                      </w:tcPr>
                      <w:p>
                        <w:pPr>
                          <w:keepNext w:val="0"/>
                          <w:keepLines w:val="0"/>
                          <w:widowControl/>
                          <w:suppressLineNumbers w:val="0"/>
                          <w:spacing w:line="330" w:lineRule="atLeast"/>
                          <w:jc w:val="left"/>
                          <w:rPr>
                            <w:rFonts w:hint="eastAsia" w:ascii="宋体" w:hAnsi="宋体" w:eastAsia="宋体" w:cs="宋体"/>
                            <w:i w:val="0"/>
                            <w:color w:val="838282"/>
                            <w:sz w:val="18"/>
                            <w:szCs w:val="18"/>
                            <w:u w:val="none"/>
                          </w:rPr>
                        </w:pPr>
                        <w:r>
                          <w:rPr>
                            <w:rFonts w:hint="eastAsia" w:ascii="宋体" w:hAnsi="宋体" w:eastAsia="宋体" w:cs="宋体"/>
                            <w:i w:val="0"/>
                            <w:color w:val="838282"/>
                            <w:kern w:val="0"/>
                            <w:sz w:val="18"/>
                            <w:szCs w:val="18"/>
                            <w:u w:val="none"/>
                            <w:bdr w:val="none" w:color="auto" w:sz="0" w:space="0"/>
                            <w:lang w:val="en-US" w:eastAsia="zh-CN" w:bidi="ar"/>
                          </w:rPr>
                          <w:t>能源动力</w:t>
                        </w:r>
                      </w:p>
                    </w:tc>
                  </w:tr>
                </w:tbl>
                <w:p>
                  <w:pPr>
                    <w:spacing w:line="330" w:lineRule="atLeast"/>
                    <w:jc w:val="left"/>
                  </w:pPr>
                </w:p>
              </w:tc>
            </w:tr>
          </w:tbl>
          <w:p>
            <w:pPr>
              <w:jc w:val="left"/>
              <w:rPr>
                <w:rFonts w:ascii="微软雅黑" w:hAnsi="微软雅黑" w:eastAsia="微软雅黑" w:cs="微软雅黑"/>
                <w:i w:val="0"/>
                <w:caps w:val="0"/>
                <w:color w:val="000000"/>
                <w:spacing w:val="0"/>
                <w:sz w:val="27"/>
                <w:szCs w:val="27"/>
              </w:rPr>
            </w:pPr>
          </w:p>
        </w:tc>
      </w:tr>
      <w:tr>
        <w:tblPrEx>
          <w:tblCellMar>
            <w:top w:w="0" w:type="dxa"/>
            <w:left w:w="0" w:type="dxa"/>
            <w:bottom w:w="0" w:type="dxa"/>
            <w:right w:w="0" w:type="dxa"/>
          </w:tblCellMar>
        </w:tblPrEx>
        <w:trPr>
          <w:tblCellSpacing w:w="0" w:type="dxa"/>
        </w:trPr>
        <w:tc>
          <w:tcPr>
            <w:tcW w:w="0" w:type="auto"/>
            <w:shd w:val="clear" w:color="auto" w:fill="FFFFFF"/>
            <w:vAlign w:val="top"/>
          </w:tcPr>
          <w:tbl>
            <w:tblPr>
              <w:tblW w:w="11100" w:type="dxa"/>
              <w:jc w:val="center"/>
              <w:tblCellSpacing w:w="0" w:type="dxa"/>
              <w:shd w:val="clear"/>
              <w:tblLayout w:type="autofit"/>
              <w:tblCellMar>
                <w:top w:w="0" w:type="dxa"/>
                <w:left w:w="0" w:type="dxa"/>
                <w:bottom w:w="0" w:type="dxa"/>
                <w:right w:w="0" w:type="dxa"/>
              </w:tblCellMar>
            </w:tblPr>
            <w:tblGrid>
              <w:gridCol w:w="8306"/>
            </w:tblGrid>
            <w:tr>
              <w:tblPrEx>
                <w:shd w:val="clear"/>
                <w:tblCellMar>
                  <w:top w:w="0" w:type="dxa"/>
                  <w:left w:w="0" w:type="dxa"/>
                  <w:bottom w:w="0" w:type="dxa"/>
                  <w:right w:w="0" w:type="dxa"/>
                </w:tblCellMar>
              </w:tblPrEx>
              <w:trPr>
                <w:trHeight w:val="151" w:hRule="atLeast"/>
                <w:tblCellSpacing w:w="0" w:type="dxa"/>
                <w:jc w:val="center"/>
              </w:trPr>
              <w:tc>
                <w:tcPr>
                  <w:tcW w:w="0" w:type="auto"/>
                  <w:shd w:val="clear"/>
                  <w:vAlign w:val="center"/>
                </w:tcPr>
                <w:p>
                  <w:pPr>
                    <w:rPr>
                      <w:rFonts w:hint="eastAsia" w:ascii="宋体"/>
                      <w:sz w:val="24"/>
                      <w:szCs w:val="24"/>
                    </w:rPr>
                  </w:pPr>
                </w:p>
              </w:tc>
            </w:tr>
            <w:tr>
              <w:tblPrEx>
                <w:shd w:val="clear"/>
              </w:tblPrEx>
              <w:trPr>
                <w:tblCellSpacing w:w="0" w:type="dxa"/>
                <w:jc w:val="center"/>
              </w:trPr>
              <w:tc>
                <w:tcPr>
                  <w:tcW w:w="0" w:type="auto"/>
                  <w:shd w:val="clear"/>
                  <w:vAlign w:val="center"/>
                </w:tcPr>
                <w:tbl>
                  <w:tblPr>
                    <w:tblW w:w="11100" w:type="dxa"/>
                    <w:jc w:val="center"/>
                    <w:tblCellSpacing w:w="15" w:type="dxa"/>
                    <w:shd w:val="clear"/>
                    <w:tblLayout w:type="autofit"/>
                    <w:tblCellMar>
                      <w:top w:w="0" w:type="dxa"/>
                      <w:left w:w="0" w:type="dxa"/>
                      <w:bottom w:w="0" w:type="dxa"/>
                      <w:right w:w="0" w:type="dxa"/>
                    </w:tblCellMar>
                  </w:tblPr>
                  <w:tblGrid>
                    <w:gridCol w:w="3227"/>
                    <w:gridCol w:w="1013"/>
                    <w:gridCol w:w="1434"/>
                    <w:gridCol w:w="2526"/>
                    <w:gridCol w:w="2900"/>
                  </w:tblGrid>
                  <w:tr>
                    <w:tblPrEx>
                      <w:shd w:val="clear"/>
                      <w:tblCellMar>
                        <w:top w:w="0" w:type="dxa"/>
                        <w:left w:w="0" w:type="dxa"/>
                        <w:bottom w:w="0" w:type="dxa"/>
                        <w:right w:w="0" w:type="dxa"/>
                      </w:tblCellMar>
                    </w:tblPrEx>
                    <w:trPr>
                      <w:trHeight w:val="450" w:hRule="atLeast"/>
                      <w:tblCellSpacing w:w="15" w:type="dxa"/>
                      <w:jc w:val="center"/>
                    </w:trPr>
                    <w:tc>
                      <w:tcPr>
                        <w:tcW w:w="0" w:type="auto"/>
                        <w:gridSpan w:val="5"/>
                        <w:shd w:val="clear" w:color="auto" w:fill="DEF1FB"/>
                        <w:tcMar>
                          <w:left w:w="150" w:type="dxa"/>
                        </w:tcMar>
                        <w:vAlign w:val="center"/>
                      </w:tcPr>
                      <w:p>
                        <w:pPr>
                          <w:keepNext w:val="0"/>
                          <w:keepLines w:val="0"/>
                          <w:widowControl/>
                          <w:suppressLineNumbers w:val="0"/>
                          <w:shd w:val="clear" w:fill="DEF1FB"/>
                          <w:spacing w:line="330" w:lineRule="atLeast"/>
                          <w:jc w:val="left"/>
                          <w:rPr>
                            <w:rFonts w:hint="eastAsia" w:ascii="宋体" w:hAnsi="宋体" w:eastAsia="宋体" w:cs="宋体"/>
                            <w:b/>
                            <w:i w:val="0"/>
                            <w:color w:val="666666"/>
                            <w:sz w:val="18"/>
                            <w:szCs w:val="18"/>
                            <w:u w:val="none"/>
                          </w:rPr>
                        </w:pPr>
                        <w:r>
                          <w:rPr>
                            <w:rFonts w:hint="eastAsia" w:ascii="宋体" w:hAnsi="宋体" w:eastAsia="宋体" w:cs="宋体"/>
                            <w:b/>
                            <w:i w:val="0"/>
                            <w:color w:val="666666"/>
                            <w:kern w:val="0"/>
                            <w:sz w:val="18"/>
                            <w:szCs w:val="18"/>
                            <w:u w:val="none"/>
                            <w:bdr w:val="none" w:color="auto" w:sz="0" w:space="0"/>
                            <w:lang w:val="en-US" w:eastAsia="zh-CN" w:bidi="ar"/>
                          </w:rPr>
                          <w:t>学科专业名称：力学</w:t>
                        </w:r>
                        <w:r>
                          <w:rPr>
                            <w:rFonts w:hint="eastAsia" w:ascii="宋体" w:hAnsi="宋体" w:eastAsia="宋体" w:cs="宋体"/>
                            <w:b/>
                            <w:i w:val="0"/>
                            <w:color w:val="003399"/>
                            <w:kern w:val="0"/>
                            <w:sz w:val="18"/>
                            <w:szCs w:val="18"/>
                            <w:u w:val="none"/>
                            <w:bdr w:val="none" w:color="auto" w:sz="0" w:space="0"/>
                            <w:lang w:val="en-US" w:eastAsia="zh-CN" w:bidi="ar"/>
                          </w:rPr>
                          <w:t>（专业代码</w:t>
                        </w:r>
                        <w:r>
                          <w:rPr>
                            <w:rStyle w:val="4"/>
                            <w:rFonts w:hint="eastAsia" w:ascii="宋体" w:hAnsi="宋体" w:eastAsia="宋体" w:cs="宋体"/>
                            <w:i w:val="0"/>
                            <w:color w:val="003399"/>
                            <w:kern w:val="0"/>
                            <w:sz w:val="18"/>
                            <w:szCs w:val="18"/>
                            <w:u w:val="none"/>
                            <w:bdr w:val="none" w:color="auto" w:sz="0" w:space="0"/>
                            <w:lang w:val="en-US" w:eastAsia="zh-CN" w:bidi="ar"/>
                          </w:rPr>
                          <w:t>080100）</w:t>
                        </w:r>
                      </w:p>
                    </w:tc>
                  </w:tr>
                  <w:tr>
                    <w:tblPrEx>
                      <w:tblCellMar>
                        <w:top w:w="0" w:type="dxa"/>
                        <w:left w:w="0" w:type="dxa"/>
                        <w:bottom w:w="0" w:type="dxa"/>
                        <w:right w:w="0" w:type="dxa"/>
                      </w:tblCellMar>
                    </w:tblPrEx>
                    <w:trPr>
                      <w:trHeight w:val="30" w:hRule="atLeast"/>
                      <w:tblCellSpacing w:w="15" w:type="dxa"/>
                      <w:jc w:val="center"/>
                    </w:trPr>
                    <w:tc>
                      <w:tcPr>
                        <w:tcW w:w="3060" w:type="dxa"/>
                        <w:shd w:val="clear"/>
                        <w:vAlign w:val="center"/>
                      </w:tcPr>
                      <w:p>
                        <w:pPr>
                          <w:rPr>
                            <w:rFonts w:hint="eastAsia" w:ascii="宋体"/>
                            <w:sz w:val="24"/>
                            <w:szCs w:val="24"/>
                          </w:rPr>
                        </w:pPr>
                      </w:p>
                    </w:tc>
                    <w:tc>
                      <w:tcPr>
                        <w:tcW w:w="945" w:type="dxa"/>
                        <w:shd w:val="clear"/>
                        <w:vAlign w:val="center"/>
                      </w:tcPr>
                      <w:p>
                        <w:pPr>
                          <w:rPr>
                            <w:rFonts w:hint="eastAsia" w:ascii="宋体"/>
                            <w:sz w:val="24"/>
                            <w:szCs w:val="24"/>
                          </w:rPr>
                        </w:pPr>
                      </w:p>
                    </w:tc>
                    <w:tc>
                      <w:tcPr>
                        <w:tcW w:w="1350" w:type="dxa"/>
                        <w:shd w:val="clear"/>
                        <w:vAlign w:val="center"/>
                      </w:tcPr>
                      <w:p>
                        <w:pPr>
                          <w:rPr>
                            <w:rFonts w:hint="eastAsia" w:ascii="宋体"/>
                            <w:sz w:val="24"/>
                            <w:szCs w:val="24"/>
                          </w:rPr>
                        </w:pPr>
                      </w:p>
                    </w:tc>
                    <w:tc>
                      <w:tcPr>
                        <w:tcW w:w="2400" w:type="dxa"/>
                        <w:shd w:val="clear"/>
                        <w:vAlign w:val="center"/>
                      </w:tcPr>
                      <w:p>
                        <w:pPr>
                          <w:rPr>
                            <w:rFonts w:hint="eastAsia" w:ascii="宋体"/>
                            <w:sz w:val="24"/>
                            <w:szCs w:val="24"/>
                          </w:rPr>
                        </w:pPr>
                      </w:p>
                    </w:tc>
                    <w:tc>
                      <w:tcPr>
                        <w:tcW w:w="2745" w:type="dxa"/>
                        <w:shd w:val="clear"/>
                        <w:vAlign w:val="center"/>
                      </w:tcPr>
                      <w:p>
                        <w:pPr>
                          <w:rPr>
                            <w:rFonts w:hint="eastAsia" w:ascii="宋体"/>
                            <w:sz w:val="24"/>
                            <w:szCs w:val="24"/>
                          </w:rPr>
                        </w:pPr>
                      </w:p>
                    </w:tc>
                  </w:tr>
                </w:tbl>
                <w:p/>
              </w:tc>
            </w:tr>
            <w:tr>
              <w:tblPrEx>
                <w:shd w:val="clear"/>
                <w:tblCellMar>
                  <w:top w:w="0" w:type="dxa"/>
                  <w:left w:w="0" w:type="dxa"/>
                  <w:bottom w:w="0" w:type="dxa"/>
                  <w:right w:w="0" w:type="dxa"/>
                </w:tblCellMar>
              </w:tblPrEx>
              <w:trPr>
                <w:tblCellSpacing w:w="0" w:type="dxa"/>
                <w:jc w:val="center"/>
              </w:trPr>
              <w:tc>
                <w:tcPr>
                  <w:tcW w:w="0" w:type="auto"/>
                  <w:shd w:val="clear"/>
                  <w:tcMar>
                    <w:top w:w="225" w:type="dxa"/>
                    <w:left w:w="75" w:type="dxa"/>
                    <w:bottom w:w="225" w:type="dxa"/>
                    <w:right w:w="75" w:type="dxa"/>
                  </w:tcMar>
                  <w:vAlign w:val="center"/>
                </w:tcPr>
                <w:p>
                  <w:pPr>
                    <w:keepNext w:val="0"/>
                    <w:keepLines w:val="0"/>
                    <w:widowControl/>
                    <w:suppressLineNumbers w:val="0"/>
                    <w:spacing w:line="330" w:lineRule="atLeast"/>
                    <w:jc w:val="left"/>
                    <w:rPr>
                      <w:rFonts w:hint="eastAsia" w:ascii="宋体" w:hAnsi="宋体" w:eastAsia="宋体" w:cs="宋体"/>
                      <w:i w:val="0"/>
                      <w:color w:val="575757"/>
                      <w:sz w:val="18"/>
                      <w:szCs w:val="18"/>
                      <w:u w:val="none"/>
                    </w:rPr>
                  </w:pPr>
                  <w:r>
                    <w:rPr>
                      <w:rStyle w:val="4"/>
                      <w:rFonts w:hint="eastAsia" w:ascii="宋体" w:hAnsi="宋体" w:eastAsia="宋体" w:cs="宋体"/>
                      <w:i w:val="0"/>
                      <w:color w:val="575757"/>
                      <w:kern w:val="0"/>
                      <w:sz w:val="18"/>
                      <w:szCs w:val="18"/>
                      <w:u w:val="none"/>
                      <w:bdr w:val="none" w:color="auto" w:sz="0" w:space="0"/>
                      <w:lang w:val="en-US" w:eastAsia="zh-CN" w:bidi="ar"/>
                    </w:rPr>
                    <w:t>一、报考说明</w:t>
                  </w:r>
                  <w:r>
                    <w:rPr>
                      <w:rFonts w:hint="eastAsia" w:ascii="宋体" w:hAnsi="宋体" w:eastAsia="宋体" w:cs="宋体"/>
                      <w:i w:val="0"/>
                      <w:color w:val="575757"/>
                      <w:kern w:val="0"/>
                      <w:sz w:val="18"/>
                      <w:szCs w:val="18"/>
                      <w:u w:val="none"/>
                      <w:bdr w:val="none" w:color="auto" w:sz="0" w:space="0"/>
                      <w:lang w:val="en-US" w:eastAsia="zh-CN" w:bidi="ar"/>
                    </w:rPr>
                    <w:t>：</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推免为主，少量报考。</w:t>
                  </w:r>
                  <w:r>
                    <w:rPr>
                      <w:rFonts w:hint="eastAsia" w:ascii="宋体" w:hAnsi="宋体" w:eastAsia="宋体" w:cs="宋体"/>
                      <w:i w:val="0"/>
                      <w:color w:val="575757"/>
                      <w:kern w:val="0"/>
                      <w:sz w:val="18"/>
                      <w:szCs w:val="18"/>
                      <w:u w:val="none"/>
                      <w:bdr w:val="none" w:color="auto" w:sz="0" w:space="0"/>
                      <w:lang w:val="en-US" w:eastAsia="zh-CN" w:bidi="ar"/>
                    </w:rPr>
                    <w:br w:type="textWrapping"/>
                  </w:r>
                  <w:r>
                    <w:rPr>
                      <w:rStyle w:val="4"/>
                      <w:rFonts w:hint="eastAsia" w:ascii="宋体" w:hAnsi="宋体" w:eastAsia="宋体" w:cs="宋体"/>
                      <w:i w:val="0"/>
                      <w:color w:val="575757"/>
                      <w:kern w:val="0"/>
                      <w:sz w:val="18"/>
                      <w:szCs w:val="18"/>
                      <w:u w:val="none"/>
                      <w:bdr w:val="none" w:color="auto" w:sz="0" w:space="0"/>
                      <w:lang w:val="en-US" w:eastAsia="zh-CN" w:bidi="ar"/>
                    </w:rPr>
                    <w:t>二、专业介绍</w:t>
                  </w:r>
                  <w:r>
                    <w:rPr>
                      <w:rFonts w:hint="eastAsia" w:ascii="宋体" w:hAnsi="宋体" w:eastAsia="宋体" w:cs="宋体"/>
                      <w:i w:val="0"/>
                      <w:color w:val="575757"/>
                      <w:kern w:val="0"/>
                      <w:sz w:val="18"/>
                      <w:szCs w:val="18"/>
                      <w:u w:val="none"/>
                      <w:bdr w:val="none" w:color="auto" w:sz="0" w:space="0"/>
                      <w:lang w:val="en-US" w:eastAsia="zh-CN" w:bidi="ar"/>
                    </w:rPr>
                    <w:t>：</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专业介绍主要内容包括：</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1、固体力学080102：是国家批准的硕士点、博士点，设有博士后流动站，现属力学一级学科博士学位授予点。1987年被批准为国家重点学科。近年来多次获得国家自然科学三等奖、四等奖、ICES国际计算工程科学大奖、中科院重大科技成果奖等奖项。培养德、智、体全面发展的，在固体力学领域内具有坚实的理论基础，系统的专业知识和较熟悉的实验技能，以及了解固体力学领域发展的前沿和动态，并具备从事高校教育和科研能力的专门人才。</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2、流体力学080103：国家首批博士点和硕士点，为全国两个理科（力学）人才培养基地之一，设博士后流动站，培养从事流体力学及与之相关的新兴交叉学科的高级科技工作者。本专业建有低速风洞、水洞、水槽和高超声速激波风洞等实验设备和配套测试系统，具有良好的计算机软硬件条件。与日本、美国、英国、德国、荷兰、澳大利亚等国家以及我国香港、台湾等地区的著名大学与科研机构保持着密切的合作和交流。</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3、工程力学080104：本专业是1958年钱学森先生和郑哲敏院士倡导下成立的我国第一个爆炸力学专业，多年来培养出大批高水平的科研工作者和管理工作者，其中有中科院和工程院院士各一名，本学科在国防、能源、环境、安全、计算机应用、国家西部开发战略和高科技等交叉领域均有广阔的前景。</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4、生物工程力学080120：本学科培养德、智、体全面发展，在流体力学领域内具有坚实的理论基础、系统的专业知识和较熟练的实验技能，了解流体力学、生物工程力学领域发展前沿和动态，具有独立开展本学科科学研究工作能力的高层次专门人才。学位获得者应能承担高等院校、科研院所以及高科技企业的教学、科研及开发管理等工作。</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5、材料力学与设计080121：本学科培养德、智、体全面发展，在固体力学领域内具有坚实的理论基础、系统的专业知识和较熟练的实验技能，了解固体力学、材料力学与设计领域的发展前沿和动态，具有独立开展本学科科学研究工作能力的高层次专门人才。学位获得者应能承担高等院校、科研院所以及高科技企业的教学、科研及开发管理等工作。</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6、微系统力学080122：本学科培养德、智、体全面发展，在微系统力学领域内具有坚实的理论基础、系统的专业知识和较熟练的实验技能，了解微系统力学领域的发展前沿和动态，具有独立开展本学科科学研究工作能力的高层次专门人才。学位获得者应能承担高等院校、科研院所以及高科技企业的教学、科研及开发管理等工作。</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7、工程安全及防护技术080124：本学科培养德、智、体全面发展，在工程安全与防护技术领域内具有坚实的理论基础、系统的专业知识和较熟练的实验技能，了解工程安全与防护技术领域的发展前沿和动态，具有独立开展本学科科学研究工作能力的高层次专门人才。学位获得者应能承担高等院校、科研院所以及高科技企业的教学、科研及开发管理等工作。</w:t>
                  </w:r>
                  <w:r>
                    <w:rPr>
                      <w:rFonts w:hint="eastAsia" w:ascii="宋体" w:hAnsi="宋体" w:eastAsia="宋体" w:cs="宋体"/>
                      <w:i w:val="0"/>
                      <w:color w:val="575757"/>
                      <w:kern w:val="0"/>
                      <w:sz w:val="18"/>
                      <w:szCs w:val="18"/>
                      <w:u w:val="none"/>
                      <w:bdr w:val="none" w:color="auto" w:sz="0" w:space="0"/>
                      <w:lang w:val="en-US" w:eastAsia="zh-CN" w:bidi="ar"/>
                    </w:rPr>
                    <w:br w:type="textWrapping"/>
                  </w:r>
                  <w:r>
                    <w:rPr>
                      <w:rStyle w:val="4"/>
                      <w:rFonts w:hint="eastAsia" w:ascii="宋体" w:hAnsi="宋体" w:eastAsia="宋体" w:cs="宋体"/>
                      <w:i w:val="0"/>
                      <w:color w:val="575757"/>
                      <w:kern w:val="0"/>
                      <w:sz w:val="18"/>
                      <w:szCs w:val="18"/>
                      <w:u w:val="none"/>
                      <w:bdr w:val="none" w:color="auto" w:sz="0" w:space="0"/>
                      <w:lang w:val="en-US" w:eastAsia="zh-CN" w:bidi="ar"/>
                    </w:rPr>
                    <w:t>三、研究方向及初试科目</w:t>
                  </w:r>
                  <w:r>
                    <w:rPr>
                      <w:rFonts w:hint="eastAsia" w:ascii="宋体" w:hAnsi="宋体" w:eastAsia="宋体" w:cs="宋体"/>
                      <w:i w:val="0"/>
                      <w:color w:val="575757"/>
                      <w:kern w:val="0"/>
                      <w:sz w:val="18"/>
                      <w:szCs w:val="18"/>
                      <w:u w:val="none"/>
                      <w:bdr w:val="none" w:color="auto" w:sz="0" w:space="0"/>
                      <w:lang w:val="en-US" w:eastAsia="zh-CN" w:bidi="ar"/>
                    </w:rPr>
                    <w:t>：</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4492"/>
                    <w:gridCol w:w="3664"/>
                  </w:tblGrid>
                  <w:tr>
                    <w:tblPrEx>
                      <w:shd w:val="clear" w:color="auto" w:fill="CCCCCC"/>
                      <w:tblCellMar>
                        <w:top w:w="0" w:type="dxa"/>
                        <w:left w:w="0" w:type="dxa"/>
                        <w:bottom w:w="0" w:type="dxa"/>
                        <w:right w:w="0" w:type="dxa"/>
                      </w:tblCellMar>
                    </w:tblPrEx>
                    <w:trPr>
                      <w:tblCellSpacing w:w="7" w:type="dxa"/>
                    </w:trPr>
                    <w:tc>
                      <w:tcPr>
                        <w:tcW w:w="270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研究方向</w:t>
                        </w:r>
                      </w:p>
                    </w:tc>
                    <w:tc>
                      <w:tcPr>
                        <w:tcW w:w="220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初试科目</w:t>
                        </w:r>
                      </w:p>
                    </w:tc>
                  </w:tr>
                  <w:tr>
                    <w:tblPrEx>
                      <w:shd w:val="clear" w:color="auto" w:fill="CCCCCC"/>
                      <w:tblCellMar>
                        <w:top w:w="0" w:type="dxa"/>
                        <w:left w:w="0" w:type="dxa"/>
                        <w:bottom w:w="0" w:type="dxa"/>
                        <w:right w:w="0" w:type="dxa"/>
                      </w:tblCellMar>
                    </w:tblPrEx>
                    <w:trPr>
                      <w:tblCellSpacing w:w="7" w:type="dxa"/>
                    </w:trPr>
                    <w:tc>
                      <w:tcPr>
                        <w:tcW w:w="2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1、固体力学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2、流体力学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3、工程力学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4、生物工程力学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5、材料力学与设计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6、微系统力学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7、工程安全及防护技术</w:t>
                        </w:r>
                      </w:p>
                    </w:tc>
                    <w:tc>
                      <w:tcPr>
                        <w:tcW w:w="22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101 思想政治理论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 英语一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301 数学一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827 理论力学</w:t>
                        </w:r>
                      </w:p>
                    </w:tc>
                  </w:tr>
                </w:tbl>
                <w:p>
                  <w:pPr>
                    <w:keepNext w:val="0"/>
                    <w:keepLines w:val="0"/>
                    <w:widowControl/>
                    <w:suppressLineNumbers w:val="0"/>
                    <w:jc w:val="left"/>
                  </w:pPr>
                  <w:r>
                    <w:rPr>
                      <w:rStyle w:val="4"/>
                      <w:rFonts w:hint="eastAsia" w:ascii="宋体" w:hAnsi="宋体" w:eastAsia="宋体" w:cs="宋体"/>
                      <w:i w:val="0"/>
                      <w:color w:val="575757"/>
                      <w:kern w:val="0"/>
                      <w:sz w:val="18"/>
                      <w:szCs w:val="18"/>
                      <w:u w:val="none"/>
                      <w:bdr w:val="none" w:color="auto" w:sz="0" w:space="0"/>
                      <w:lang w:val="en-US" w:eastAsia="zh-CN" w:bidi="ar"/>
                    </w:rPr>
                    <w:t>四、复试形式</w:t>
                  </w:r>
                  <w:r>
                    <w:rPr>
                      <w:rFonts w:hint="eastAsia" w:ascii="宋体" w:hAnsi="宋体" w:eastAsia="宋体" w:cs="宋体"/>
                      <w:i w:val="0"/>
                      <w:color w:val="575757"/>
                      <w:kern w:val="0"/>
                      <w:sz w:val="18"/>
                      <w:szCs w:val="18"/>
                      <w:u w:val="none"/>
                      <w:bdr w:val="none" w:color="auto" w:sz="0" w:space="0"/>
                      <w:lang w:val="en-US" w:eastAsia="zh-CN" w:bidi="ar"/>
                    </w:rPr>
                    <w:t>：笔试+面试。</w:t>
                  </w:r>
                  <w:r>
                    <w:rPr>
                      <w:rFonts w:hint="eastAsia" w:ascii="宋体" w:hAnsi="宋体" w:eastAsia="宋体" w:cs="宋体"/>
                      <w:i w:val="0"/>
                      <w:color w:val="575757"/>
                      <w:kern w:val="0"/>
                      <w:sz w:val="18"/>
                      <w:szCs w:val="18"/>
                      <w:u w:val="none"/>
                      <w:bdr w:val="none" w:color="auto" w:sz="0" w:space="0"/>
                      <w:lang w:val="en-US" w:eastAsia="zh-CN" w:bidi="ar"/>
                    </w:rPr>
                    <w:br w:type="textWrapping"/>
                  </w:r>
                  <w:r>
                    <w:rPr>
                      <w:rStyle w:val="4"/>
                      <w:rFonts w:hint="eastAsia" w:ascii="宋体" w:hAnsi="宋体" w:eastAsia="宋体" w:cs="宋体"/>
                      <w:i w:val="0"/>
                      <w:color w:val="575757"/>
                      <w:kern w:val="0"/>
                      <w:sz w:val="18"/>
                      <w:szCs w:val="18"/>
                      <w:u w:val="none"/>
                      <w:bdr w:val="none" w:color="auto" w:sz="0" w:space="0"/>
                      <w:lang w:val="en-US" w:eastAsia="zh-CN" w:bidi="ar"/>
                    </w:rPr>
                    <w:t>五、复试内容</w:t>
                  </w:r>
                  <w:r>
                    <w:rPr>
                      <w:rFonts w:hint="eastAsia" w:ascii="宋体" w:hAnsi="宋体" w:eastAsia="宋体" w:cs="宋体"/>
                      <w:i w:val="0"/>
                      <w:color w:val="575757"/>
                      <w:kern w:val="0"/>
                      <w:sz w:val="18"/>
                      <w:szCs w:val="18"/>
                      <w:u w:val="none"/>
                      <w:bdr w:val="none" w:color="auto" w:sz="0" w:space="0"/>
                      <w:lang w:val="en-US" w:eastAsia="zh-CN" w:bidi="ar"/>
                    </w:rPr>
                    <w:t>： </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笔试（满分100分）：力学相关知识、英文翻译。 </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面试（满分100分）：英语口语、专业知识问答。 </w:t>
                  </w:r>
                  <w:r>
                    <w:rPr>
                      <w:rFonts w:hint="eastAsia" w:ascii="宋体" w:hAnsi="宋体" w:eastAsia="宋体" w:cs="宋体"/>
                      <w:i w:val="0"/>
                      <w:color w:val="575757"/>
                      <w:kern w:val="0"/>
                      <w:sz w:val="18"/>
                      <w:szCs w:val="18"/>
                      <w:u w:val="none"/>
                      <w:bdr w:val="none" w:color="auto" w:sz="0" w:space="0"/>
                      <w:lang w:val="en-US" w:eastAsia="zh-CN" w:bidi="ar"/>
                    </w:rPr>
                    <w:br w:type="textWrapping"/>
                  </w:r>
                  <w:r>
                    <w:rPr>
                      <w:rFonts w:hint="eastAsia" w:ascii="宋体" w:hAnsi="宋体" w:eastAsia="宋体" w:cs="宋体"/>
                      <w:i w:val="0"/>
                      <w:color w:val="575757"/>
                      <w:kern w:val="0"/>
                      <w:sz w:val="18"/>
                      <w:szCs w:val="18"/>
                      <w:u w:val="none"/>
                      <w:bdr w:val="none" w:color="auto" w:sz="0" w:space="0"/>
                      <w:lang w:val="en-US" w:eastAsia="zh-CN" w:bidi="ar"/>
                    </w:rPr>
                    <w:t>考察考生大学所学的基础知识（包括英语听说能力），分析和解决问题的能力；对本专业基础知识和基本概念的掌握、理解，对本专业目前动态的了解以及感兴趣的研究方面；考察考生专业以外的学习、科研和社会实践或实际工作等方面的经历，个性特点、意志品质等方面的内容。 </w:t>
                  </w:r>
                  <w:r>
                    <w:rPr>
                      <w:rFonts w:hint="eastAsia" w:ascii="宋体" w:hAnsi="宋体" w:eastAsia="宋体" w:cs="宋体"/>
                      <w:i w:val="0"/>
                      <w:color w:val="575757"/>
                      <w:kern w:val="0"/>
                      <w:sz w:val="18"/>
                      <w:szCs w:val="18"/>
                      <w:u w:val="none"/>
                      <w:bdr w:val="none" w:color="auto" w:sz="0" w:space="0"/>
                      <w:lang w:val="en-US" w:eastAsia="zh-CN" w:bidi="ar"/>
                    </w:rPr>
                    <w:br w:type="textWrapping"/>
                  </w:r>
                  <w:r>
                    <w:rPr>
                      <w:rStyle w:val="4"/>
                      <w:rFonts w:hint="eastAsia" w:ascii="宋体" w:hAnsi="宋体" w:eastAsia="宋体" w:cs="宋体"/>
                      <w:i w:val="0"/>
                      <w:color w:val="575757"/>
                      <w:kern w:val="0"/>
                      <w:sz w:val="18"/>
                      <w:szCs w:val="18"/>
                      <w:u w:val="none"/>
                      <w:bdr w:val="none" w:color="auto" w:sz="0" w:space="0"/>
                      <w:lang w:val="en-US" w:eastAsia="zh-CN" w:bidi="ar"/>
                    </w:rPr>
                    <w:t>六、复试成绩</w:t>
                  </w:r>
                  <w:r>
                    <w:rPr>
                      <w:rFonts w:hint="eastAsia" w:ascii="宋体" w:hAnsi="宋体" w:eastAsia="宋体" w:cs="宋体"/>
                      <w:i w:val="0"/>
                      <w:color w:val="575757"/>
                      <w:kern w:val="0"/>
                      <w:sz w:val="18"/>
                      <w:szCs w:val="18"/>
                      <w:u w:val="none"/>
                      <w:bdr w:val="none" w:color="auto" w:sz="0" w:space="0"/>
                      <w:lang w:val="en-US" w:eastAsia="zh-CN" w:bidi="ar"/>
                    </w:rPr>
                    <w:t>：满分100分。其中笔试满分100分，面试满分100分，复试成绩=（笔试成绩+面试成绩）÷2。 </w:t>
                  </w:r>
                  <w:r>
                    <w:rPr>
                      <w:rFonts w:hint="eastAsia" w:ascii="宋体" w:hAnsi="宋体" w:eastAsia="宋体" w:cs="宋体"/>
                      <w:i w:val="0"/>
                      <w:color w:val="575757"/>
                      <w:kern w:val="0"/>
                      <w:sz w:val="18"/>
                      <w:szCs w:val="18"/>
                      <w:u w:val="none"/>
                      <w:bdr w:val="none" w:color="auto" w:sz="0" w:space="0"/>
                      <w:lang w:val="en-US" w:eastAsia="zh-CN" w:bidi="ar"/>
                    </w:rPr>
                    <w:br w:type="textWrapping"/>
                  </w:r>
                  <w:r>
                    <w:rPr>
                      <w:rStyle w:val="4"/>
                      <w:rFonts w:hint="eastAsia" w:ascii="宋体" w:hAnsi="宋体" w:eastAsia="宋体" w:cs="宋体"/>
                      <w:i w:val="0"/>
                      <w:color w:val="575757"/>
                      <w:kern w:val="0"/>
                      <w:sz w:val="18"/>
                      <w:szCs w:val="18"/>
                      <w:u w:val="none"/>
                      <w:bdr w:val="none" w:color="auto" w:sz="0" w:space="0"/>
                      <w:lang w:val="en-US" w:eastAsia="zh-CN" w:bidi="ar"/>
                    </w:rPr>
                    <w:t>七、最终成绩</w:t>
                  </w:r>
                  <w:r>
                    <w:rPr>
                      <w:rFonts w:hint="eastAsia" w:ascii="宋体" w:hAnsi="宋体" w:eastAsia="宋体" w:cs="宋体"/>
                      <w:i w:val="0"/>
                      <w:color w:val="575757"/>
                      <w:kern w:val="0"/>
                      <w:sz w:val="18"/>
                      <w:szCs w:val="18"/>
                      <w:u w:val="none"/>
                      <w:bdr w:val="none" w:color="auto" w:sz="0" w:space="0"/>
                      <w:lang w:val="en-US" w:eastAsia="zh-CN" w:bidi="ar"/>
                    </w:rPr>
                    <w:t>：满分100分。初试成绩不计政治、外语，复试成绩占比40%，即最终成绩=（初试成绩【不计政治、外语】+复试成绩×2）÷5。 </w:t>
                  </w:r>
                  <w:r>
                    <w:rPr>
                      <w:rFonts w:hint="eastAsia" w:ascii="宋体" w:hAnsi="宋体" w:eastAsia="宋体" w:cs="宋体"/>
                      <w:i w:val="0"/>
                      <w:color w:val="575757"/>
                      <w:kern w:val="0"/>
                      <w:sz w:val="18"/>
                      <w:szCs w:val="18"/>
                      <w:u w:val="none"/>
                      <w:bdr w:val="none" w:color="auto" w:sz="0" w:space="0"/>
                      <w:lang w:val="en-US" w:eastAsia="zh-CN" w:bidi="ar"/>
                    </w:rPr>
                    <w:br w:type="textWrapping"/>
                  </w:r>
                  <w:r>
                    <w:rPr>
                      <w:rStyle w:val="4"/>
                      <w:rFonts w:hint="eastAsia" w:ascii="宋体" w:hAnsi="宋体" w:eastAsia="宋体" w:cs="宋体"/>
                      <w:i w:val="0"/>
                      <w:color w:val="575757"/>
                      <w:kern w:val="0"/>
                      <w:sz w:val="18"/>
                      <w:szCs w:val="18"/>
                      <w:u w:val="none"/>
                      <w:bdr w:val="none" w:color="auto" w:sz="0" w:space="0"/>
                      <w:lang w:val="en-US" w:eastAsia="zh-CN" w:bidi="ar"/>
                    </w:rPr>
                    <w:t>八、录取</w:t>
                  </w:r>
                  <w:r>
                    <w:rPr>
                      <w:rFonts w:hint="eastAsia" w:ascii="宋体" w:hAnsi="宋体" w:eastAsia="宋体" w:cs="宋体"/>
                      <w:i w:val="0"/>
                      <w:color w:val="575757"/>
                      <w:kern w:val="0"/>
                      <w:sz w:val="18"/>
                      <w:szCs w:val="18"/>
                      <w:u w:val="none"/>
                      <w:bdr w:val="none" w:color="auto" w:sz="0" w:space="0"/>
                      <w:lang w:val="en-US" w:eastAsia="zh-CN" w:bidi="ar"/>
                    </w:rPr>
                    <w:t>：按最终成绩由高到低排序，提出拟录取名单报批。为保证招生质量，报批人数可小于招生计划。</w:t>
                  </w:r>
                  <w:r>
                    <w:rPr>
                      <w:rFonts w:hint="eastAsia" w:ascii="宋体" w:hAnsi="宋体" w:eastAsia="宋体" w:cs="宋体"/>
                      <w:i w:val="0"/>
                      <w:color w:val="575757"/>
                      <w:kern w:val="0"/>
                      <w:sz w:val="18"/>
                      <w:szCs w:val="18"/>
                      <w:u w:val="none"/>
                      <w:bdr w:val="none" w:color="auto" w:sz="0" w:space="0"/>
                      <w:lang w:val="en-US" w:eastAsia="zh-CN" w:bidi="ar"/>
                    </w:rPr>
                    <w:br w:type="textWrapping"/>
                  </w:r>
                  <w:r>
                    <w:rPr>
                      <w:rStyle w:val="4"/>
                      <w:rFonts w:hint="eastAsia" w:ascii="宋体" w:hAnsi="宋体" w:eastAsia="宋体" w:cs="宋体"/>
                      <w:i w:val="0"/>
                      <w:color w:val="575757"/>
                      <w:kern w:val="0"/>
                      <w:sz w:val="18"/>
                      <w:szCs w:val="18"/>
                      <w:u w:val="none"/>
                      <w:bdr w:val="none" w:color="auto" w:sz="0" w:space="0"/>
                      <w:lang w:val="en-US" w:eastAsia="zh-CN" w:bidi="ar"/>
                    </w:rPr>
                    <w:t>九、调剂</w:t>
                  </w:r>
                  <w:r>
                    <w:rPr>
                      <w:rFonts w:hint="eastAsia" w:ascii="宋体" w:hAnsi="宋体" w:eastAsia="宋体" w:cs="宋体"/>
                      <w:i w:val="0"/>
                      <w:color w:val="575757"/>
                      <w:kern w:val="0"/>
                      <w:sz w:val="18"/>
                      <w:szCs w:val="18"/>
                      <w:u w:val="none"/>
                      <w:bdr w:val="none" w:color="auto" w:sz="0" w:space="0"/>
                      <w:lang w:val="en-US" w:eastAsia="zh-CN" w:bidi="ar"/>
                    </w:rPr>
                    <w:t>：本专业在生源不足的情况下接受调剂。调剂信息将于复试阶段在中国科大研究生招生在线网站（http://yz.ustc.edu.cn）发布。</w:t>
                  </w:r>
                  <w:r>
                    <w:rPr>
                      <w:rFonts w:hint="eastAsia" w:ascii="宋体" w:hAnsi="宋体" w:eastAsia="宋体" w:cs="宋体"/>
                      <w:i w:val="0"/>
                      <w:color w:val="575757"/>
                      <w:kern w:val="0"/>
                      <w:sz w:val="18"/>
                      <w:szCs w:val="18"/>
                      <w:u w:val="none"/>
                      <w:bdr w:val="none" w:color="auto" w:sz="0" w:space="0"/>
                      <w:lang w:val="en-US" w:eastAsia="zh-CN" w:bidi="ar"/>
                    </w:rPr>
                    <w:br w:type="textWrapping"/>
                  </w:r>
                  <w:r>
                    <w:rPr>
                      <w:rStyle w:val="4"/>
                      <w:rFonts w:hint="eastAsia" w:ascii="宋体" w:hAnsi="宋体" w:eastAsia="宋体" w:cs="宋体"/>
                      <w:i w:val="0"/>
                      <w:color w:val="575757"/>
                      <w:kern w:val="0"/>
                      <w:sz w:val="18"/>
                      <w:szCs w:val="18"/>
                      <w:u w:val="none"/>
                      <w:bdr w:val="none" w:color="auto" w:sz="0" w:space="0"/>
                      <w:lang w:val="en-US" w:eastAsia="zh-CN" w:bidi="ar"/>
                    </w:rPr>
                    <w:t>十、学费标准</w:t>
                  </w:r>
                  <w:r>
                    <w:rPr>
                      <w:rFonts w:hint="eastAsia" w:ascii="宋体" w:hAnsi="宋体" w:eastAsia="宋体" w:cs="宋体"/>
                      <w:i w:val="0"/>
                      <w:color w:val="575757"/>
                      <w:kern w:val="0"/>
                      <w:sz w:val="18"/>
                      <w:szCs w:val="18"/>
                      <w:u w:val="none"/>
                      <w:bdr w:val="none" w:color="auto" w:sz="0" w:space="0"/>
                      <w:lang w:val="en-US" w:eastAsia="zh-CN" w:bidi="ar"/>
                    </w:rPr>
                    <w:t>：8000元/学年。</w:t>
                  </w:r>
                </w:p>
              </w:tc>
            </w:tr>
          </w:tbl>
          <w:p>
            <w:pPr>
              <w:jc w:val="center"/>
              <w:rPr>
                <w:rFonts w:hint="eastAsia" w:ascii="微软雅黑" w:hAnsi="微软雅黑" w:eastAsia="微软雅黑" w:cs="微软雅黑"/>
                <w:i w:val="0"/>
                <w:caps w:val="0"/>
                <w:color w:val="000000"/>
                <w:spacing w:val="0"/>
                <w:sz w:val="27"/>
                <w:szCs w:val="27"/>
              </w:rPr>
            </w:pPr>
          </w:p>
        </w:tc>
      </w:tr>
    </w:tbl>
    <w:p>
      <w:pPr>
        <w:rPr>
          <w:rFonts w:hint="eastAsia"/>
        </w:rPr>
      </w:pPr>
    </w:p>
    <w:p>
      <w:pPr>
        <w:rPr>
          <w:rFonts w:hint="eastAsia"/>
        </w:rPr>
      </w:pPr>
    </w:p>
    <w:tbl>
      <w:tblPr>
        <w:tblW w:w="11100" w:type="dxa"/>
        <w:tblCellSpacing w:w="0" w:type="dxa"/>
        <w:tblInd w:w="0" w:type="dxa"/>
        <w:shd w:val="clear" w:color="auto" w:fill="FFFFFF"/>
        <w:tblLayout w:type="autofit"/>
        <w:tblCellMar>
          <w:top w:w="0" w:type="dxa"/>
          <w:left w:w="0" w:type="dxa"/>
          <w:bottom w:w="0" w:type="dxa"/>
          <w:right w:w="0" w:type="dxa"/>
        </w:tblCellMar>
      </w:tblPr>
      <w:tblGrid>
        <w:gridCol w:w="11100"/>
      </w:tblGrid>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11100" w:type="dxa"/>
              <w:jc w:val="center"/>
              <w:tblCellSpacing w:w="15" w:type="dxa"/>
              <w:shd w:val="clear"/>
              <w:tblLayout w:type="autofit"/>
              <w:tblCellMar>
                <w:top w:w="0" w:type="dxa"/>
                <w:left w:w="0" w:type="dxa"/>
                <w:bottom w:w="0" w:type="dxa"/>
                <w:right w:w="0" w:type="dxa"/>
              </w:tblCellMar>
            </w:tblPr>
            <w:tblGrid>
              <w:gridCol w:w="3227"/>
              <w:gridCol w:w="1013"/>
              <w:gridCol w:w="1434"/>
              <w:gridCol w:w="2526"/>
              <w:gridCol w:w="2900"/>
            </w:tblGrid>
            <w:tr>
              <w:tblPrEx>
                <w:shd w:val="clear"/>
                <w:tblCellMar>
                  <w:top w:w="0" w:type="dxa"/>
                  <w:left w:w="0" w:type="dxa"/>
                  <w:bottom w:w="0" w:type="dxa"/>
                  <w:right w:w="0" w:type="dxa"/>
                </w:tblCellMar>
              </w:tblPrEx>
              <w:trPr>
                <w:trHeight w:val="450" w:hRule="atLeast"/>
                <w:tblCellSpacing w:w="15" w:type="dxa"/>
                <w:jc w:val="center"/>
              </w:trPr>
              <w:tc>
                <w:tcPr>
                  <w:tcW w:w="0" w:type="auto"/>
                  <w:gridSpan w:val="5"/>
                  <w:shd w:val="clear" w:color="auto" w:fill="DEF1FB"/>
                  <w:tcMar>
                    <w:left w:w="150" w:type="dxa"/>
                  </w:tcMar>
                  <w:vAlign w:val="center"/>
                </w:tcPr>
                <w:p>
                  <w:pPr>
                    <w:keepNext w:val="0"/>
                    <w:keepLines w:val="0"/>
                    <w:widowControl/>
                    <w:suppressLineNumbers w:val="0"/>
                    <w:shd w:val="clear" w:fill="DEF1FB"/>
                    <w:spacing w:line="330" w:lineRule="atLeast"/>
                    <w:jc w:val="left"/>
                    <w:rPr>
                      <w:rFonts w:hint="eastAsia" w:ascii="宋体" w:hAnsi="宋体" w:eastAsia="宋体" w:cs="宋体"/>
                      <w:b/>
                      <w:i w:val="0"/>
                      <w:color w:val="666666"/>
                      <w:sz w:val="18"/>
                      <w:szCs w:val="18"/>
                      <w:u w:val="none"/>
                    </w:rPr>
                  </w:pPr>
                  <w:r>
                    <w:rPr>
                      <w:rFonts w:hint="eastAsia" w:ascii="宋体" w:hAnsi="宋体" w:eastAsia="宋体" w:cs="宋体"/>
                      <w:b/>
                      <w:i w:val="0"/>
                      <w:color w:val="666666"/>
                      <w:kern w:val="0"/>
                      <w:sz w:val="18"/>
                      <w:szCs w:val="18"/>
                      <w:u w:val="none"/>
                      <w:bdr w:val="none" w:color="auto" w:sz="0" w:space="0"/>
                      <w:lang w:val="en-US" w:eastAsia="zh-CN" w:bidi="ar"/>
                    </w:rPr>
                    <w:t>学科专业名称：仪器科学与技术</w:t>
                  </w:r>
                  <w:r>
                    <w:rPr>
                      <w:rFonts w:hint="eastAsia" w:ascii="宋体" w:hAnsi="宋体" w:eastAsia="宋体" w:cs="宋体"/>
                      <w:b/>
                      <w:i w:val="0"/>
                      <w:color w:val="003399"/>
                      <w:kern w:val="0"/>
                      <w:sz w:val="18"/>
                      <w:szCs w:val="18"/>
                      <w:u w:val="none"/>
                      <w:bdr w:val="none" w:color="auto" w:sz="0" w:space="0"/>
                      <w:lang w:val="en-US" w:eastAsia="zh-CN" w:bidi="ar"/>
                    </w:rPr>
                    <w:t>（专业代码</w:t>
                  </w:r>
                  <w:r>
                    <w:rPr>
                      <w:rStyle w:val="4"/>
                      <w:rFonts w:hint="eastAsia" w:ascii="宋体" w:hAnsi="宋体" w:eastAsia="宋体" w:cs="宋体"/>
                      <w:i w:val="0"/>
                      <w:color w:val="003399"/>
                      <w:kern w:val="0"/>
                      <w:sz w:val="18"/>
                      <w:szCs w:val="18"/>
                      <w:u w:val="none"/>
                      <w:bdr w:val="none" w:color="auto" w:sz="0" w:space="0"/>
                      <w:lang w:val="en-US" w:eastAsia="zh-CN" w:bidi="ar"/>
                    </w:rPr>
                    <w:t>080400）</w:t>
                  </w:r>
                </w:p>
              </w:tc>
            </w:tr>
            <w:tr>
              <w:tblPrEx>
                <w:tblCellMar>
                  <w:top w:w="0" w:type="dxa"/>
                  <w:left w:w="0" w:type="dxa"/>
                  <w:bottom w:w="0" w:type="dxa"/>
                  <w:right w:w="0" w:type="dxa"/>
                </w:tblCellMar>
              </w:tblPrEx>
              <w:trPr>
                <w:trHeight w:val="30" w:hRule="atLeast"/>
                <w:tblCellSpacing w:w="15" w:type="dxa"/>
                <w:jc w:val="center"/>
              </w:trPr>
              <w:tc>
                <w:tcPr>
                  <w:tcW w:w="3060" w:type="dxa"/>
                  <w:shd w:val="clear"/>
                  <w:vAlign w:val="center"/>
                </w:tcPr>
                <w:p>
                  <w:pPr>
                    <w:rPr>
                      <w:rFonts w:hint="eastAsia" w:ascii="宋体"/>
                      <w:sz w:val="24"/>
                      <w:szCs w:val="24"/>
                    </w:rPr>
                  </w:pPr>
                </w:p>
              </w:tc>
              <w:tc>
                <w:tcPr>
                  <w:tcW w:w="945" w:type="dxa"/>
                  <w:shd w:val="clear"/>
                  <w:vAlign w:val="center"/>
                </w:tcPr>
                <w:p>
                  <w:pPr>
                    <w:rPr>
                      <w:rFonts w:hint="eastAsia" w:ascii="宋体"/>
                      <w:sz w:val="24"/>
                      <w:szCs w:val="24"/>
                    </w:rPr>
                  </w:pPr>
                </w:p>
              </w:tc>
              <w:tc>
                <w:tcPr>
                  <w:tcW w:w="1350" w:type="dxa"/>
                  <w:shd w:val="clear"/>
                  <w:vAlign w:val="center"/>
                </w:tcPr>
                <w:p>
                  <w:pPr>
                    <w:rPr>
                      <w:rFonts w:hint="eastAsia" w:ascii="宋体"/>
                      <w:sz w:val="24"/>
                      <w:szCs w:val="24"/>
                    </w:rPr>
                  </w:pPr>
                </w:p>
              </w:tc>
              <w:tc>
                <w:tcPr>
                  <w:tcW w:w="2400" w:type="dxa"/>
                  <w:shd w:val="clear"/>
                  <w:vAlign w:val="center"/>
                </w:tcPr>
                <w:p>
                  <w:pPr>
                    <w:rPr>
                      <w:rFonts w:hint="eastAsia" w:ascii="宋体"/>
                      <w:sz w:val="24"/>
                      <w:szCs w:val="24"/>
                    </w:rPr>
                  </w:pPr>
                </w:p>
              </w:tc>
              <w:tc>
                <w:tcPr>
                  <w:tcW w:w="2745" w:type="dxa"/>
                  <w:shd w:val="clear"/>
                  <w:vAlign w:val="center"/>
                </w:tcPr>
                <w:p>
                  <w:pPr>
                    <w:rPr>
                      <w:rFonts w:hint="eastAsia" w:ascii="宋体"/>
                      <w:sz w:val="24"/>
                      <w:szCs w:val="24"/>
                    </w:rPr>
                  </w:pPr>
                </w:p>
              </w:tc>
            </w:tr>
          </w:tbl>
          <w:p>
            <w:pPr>
              <w:rPr>
                <w:rFonts w:ascii="微软雅黑" w:hAnsi="微软雅黑" w:eastAsia="微软雅黑" w:cs="微软雅黑"/>
                <w:i w:val="0"/>
                <w:caps w:val="0"/>
                <w:color w:val="000000"/>
                <w:spacing w:val="0"/>
                <w:sz w:val="27"/>
                <w:szCs w:val="27"/>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tcMar>
              <w:top w:w="225" w:type="dxa"/>
              <w:left w:w="75" w:type="dxa"/>
              <w:bottom w:w="225" w:type="dxa"/>
              <w:right w:w="75" w:type="dxa"/>
            </w:tcMar>
            <w:vAlign w:val="center"/>
          </w:tcPr>
          <w:p>
            <w:pPr>
              <w:keepNext w:val="0"/>
              <w:keepLines w:val="0"/>
              <w:widowControl/>
              <w:suppressLineNumbers w:val="0"/>
              <w:spacing w:line="330" w:lineRule="atLeast"/>
              <w:ind w:left="0" w:firstLine="0"/>
              <w:jc w:val="left"/>
              <w:rPr>
                <w:rFonts w:hint="eastAsia" w:ascii="宋体" w:hAnsi="宋体" w:eastAsia="宋体" w:cs="宋体"/>
                <w:i w:val="0"/>
                <w:caps w:val="0"/>
                <w:color w:val="575757"/>
                <w:spacing w:val="0"/>
                <w:sz w:val="18"/>
                <w:szCs w:val="18"/>
                <w:u w:val="none"/>
              </w:rPr>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一、报考说明</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推免为主，少量统考。</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二、专业介绍</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专业介绍主要内容包括：</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1、精密仪器及机械080401：“精密仪器及机械”学科以精密机械、电子学、光学和计算机技术等多学科理论和技术基础的融合为基本特征，培养学生具有深厚的数理、工程技术基础，有宽广知识面，较强的创新能力和实践能力。随着现代科学技术的发展，无论是在国家经济建设和科技基础的研究，还在国防安全重大、重要技术装备等多方面都担负重要角色。学位获得者应能承担高等院校、科研院所以及高科技企业的教学、科研及开发管理等工作。</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2、测试计量技术及仪器080402：“测试计量技术及仪器”学科主要研究信息获取、存储、处理、传输和利用信息的现代科学技术及仪器，包括测控技术及仪器、现代传感技术、精密计量理论与应用、智能结构系统与技术、信号分析与数据处理等。现代科学仪器及设备是机、电、光、计算机、材料科学、物理、化学、生物学等先进技术的高度综合。智能化、微型化、集成化和系统工程化是本学科的发展方向。本学科的发展及应用与现代科技的各个领域的发展密切相关，在生物、医学、材料、航天、环保和国防等领域尤其突出，就业领域极其广泛。</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三、研究方向及初试科目</w:t>
            </w:r>
            <w:r>
              <w:rPr>
                <w:rFonts w:hint="eastAsia" w:ascii="宋体" w:hAnsi="宋体" w:eastAsia="宋体" w:cs="宋体"/>
                <w:i w:val="0"/>
                <w:caps w:val="0"/>
                <w:color w:val="575757"/>
                <w:spacing w:val="0"/>
                <w:kern w:val="0"/>
                <w:sz w:val="18"/>
                <w:szCs w:val="18"/>
                <w:u w:val="none"/>
                <w:bdr w:val="none" w:color="auto" w:sz="0" w:space="0"/>
                <w:lang w:val="en-US" w:eastAsia="zh-CN" w:bidi="ar"/>
              </w:rPr>
              <w:t>：</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5420"/>
              <w:gridCol w:w="5530"/>
            </w:tblGrid>
            <w:tr>
              <w:tblPrEx>
                <w:shd w:val="clear" w:color="auto" w:fill="CCCCCC"/>
                <w:tblCellMar>
                  <w:top w:w="0" w:type="dxa"/>
                  <w:left w:w="0" w:type="dxa"/>
                  <w:bottom w:w="0" w:type="dxa"/>
                  <w:right w:w="0" w:type="dxa"/>
                </w:tblCellMar>
              </w:tblPrEx>
              <w:trPr>
                <w:tblCellSpacing w:w="7" w:type="dxa"/>
              </w:trPr>
              <w:tc>
                <w:tcPr>
                  <w:tcW w:w="245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研究方向</w:t>
                  </w:r>
                </w:p>
              </w:tc>
              <w:tc>
                <w:tcPr>
                  <w:tcW w:w="250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初试科目</w:t>
                  </w:r>
                </w:p>
              </w:tc>
            </w:tr>
            <w:tr>
              <w:tblPrEx>
                <w:shd w:val="clear" w:color="auto" w:fill="CCCCCC"/>
                <w:tblCellMar>
                  <w:top w:w="0" w:type="dxa"/>
                  <w:left w:w="0" w:type="dxa"/>
                  <w:bottom w:w="0" w:type="dxa"/>
                  <w:right w:w="0" w:type="dxa"/>
                </w:tblCellMar>
              </w:tblPrEx>
              <w:trPr>
                <w:tblCellSpacing w:w="7" w:type="dxa"/>
              </w:trPr>
              <w:tc>
                <w:tcPr>
                  <w:tcW w:w="24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1、智能微系统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2、微细加工技术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3、精密机电系统与智能仪器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4、仿生机器人技术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5、光电检测理论及技术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6、精密计量与仪器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7、纳米技术与仪器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8、现代传感与测试信息技术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9、状态监测与故障诊断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10、光电信息技术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11、数字化设计制造</w:t>
                  </w:r>
                </w:p>
              </w:tc>
              <w:tc>
                <w:tcPr>
                  <w:tcW w:w="2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101 思想政治理论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 英语一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301 数学一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814 工程光学或821机械设计</w:t>
                  </w:r>
                </w:p>
              </w:tc>
            </w:tr>
          </w:tbl>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四、复试形式</w:t>
            </w:r>
            <w:r>
              <w:rPr>
                <w:rFonts w:hint="eastAsia" w:ascii="宋体" w:hAnsi="宋体" w:eastAsia="宋体" w:cs="宋体"/>
                <w:i w:val="0"/>
                <w:caps w:val="0"/>
                <w:color w:val="575757"/>
                <w:spacing w:val="0"/>
                <w:kern w:val="0"/>
                <w:sz w:val="18"/>
                <w:szCs w:val="18"/>
                <w:u w:val="none"/>
                <w:bdr w:val="none" w:color="auto" w:sz="0" w:space="0"/>
                <w:lang w:val="en-US" w:eastAsia="zh-CN" w:bidi="ar"/>
              </w:rPr>
              <w:t>：笔试+面试。</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五、复试内容</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1、复试（笔试）试题覆盖范围</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6073"/>
              <w:gridCol w:w="3315"/>
              <w:gridCol w:w="1562"/>
            </w:tblGrid>
            <w:tr>
              <w:tblPrEx>
                <w:shd w:val="clear" w:color="auto" w:fill="CCCCCC"/>
                <w:tblCellMar>
                  <w:top w:w="0" w:type="dxa"/>
                  <w:left w:w="0" w:type="dxa"/>
                  <w:bottom w:w="0" w:type="dxa"/>
                  <w:right w:w="0" w:type="dxa"/>
                </w:tblCellMar>
              </w:tblPrEx>
              <w:trPr>
                <w:tblCellSpacing w:w="7" w:type="dxa"/>
              </w:trPr>
              <w:tc>
                <w:tcPr>
                  <w:tcW w:w="275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试题复试范围</w:t>
                  </w:r>
                </w:p>
              </w:tc>
              <w:tc>
                <w:tcPr>
                  <w:tcW w:w="150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参考教材</w:t>
                  </w:r>
                </w:p>
              </w:tc>
              <w:tc>
                <w:tcPr>
                  <w:tcW w:w="70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备注</w:t>
                  </w:r>
                </w:p>
              </w:tc>
            </w:tr>
            <w:tr>
              <w:tblPrEx>
                <w:tblCellMar>
                  <w:top w:w="0" w:type="dxa"/>
                  <w:left w:w="0" w:type="dxa"/>
                  <w:bottom w:w="0" w:type="dxa"/>
                  <w:right w:w="0" w:type="dxa"/>
                </w:tblCellMar>
              </w:tblPrEx>
              <w:trPr>
                <w:tblCellSpacing w:w="7" w:type="dxa"/>
              </w:trPr>
              <w:tc>
                <w:tcPr>
                  <w:tcW w:w="2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工程光学（20分）：几何光学成像原理、平面零件成像、光阑和光能计算、光学系统成像质量评价，典型光学系统、光的干涉、衍射、偏振</w:t>
                  </w:r>
                </w:p>
              </w:tc>
              <w:tc>
                <w:tcPr>
                  <w:tcW w:w="1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《应用光学》胡玉禧，中国科大出版社；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《工程光学》郁道银等，机械工业出版社；</w:t>
                  </w:r>
                </w:p>
              </w:tc>
              <w:tc>
                <w:tcPr>
                  <w:tcW w:w="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仅面向初试专业课科目</w:t>
                  </w:r>
                  <w:r>
                    <w:rPr>
                      <w:rStyle w:val="4"/>
                      <w:rFonts w:hint="eastAsia" w:ascii="宋体" w:hAnsi="宋体" w:eastAsia="宋体" w:cs="宋体"/>
                      <w:i w:val="0"/>
                      <w:color w:val="003399"/>
                      <w:kern w:val="0"/>
                      <w:sz w:val="18"/>
                      <w:szCs w:val="18"/>
                      <w:u w:val="none"/>
                      <w:bdr w:val="none" w:color="auto" w:sz="0" w:space="0"/>
                      <w:lang w:val="en-US" w:eastAsia="zh-CN" w:bidi="ar"/>
                    </w:rPr>
                    <w:t>“机械设计”</w:t>
                  </w:r>
                  <w:r>
                    <w:rPr>
                      <w:rFonts w:hint="eastAsia" w:ascii="宋体" w:hAnsi="宋体" w:eastAsia="宋体" w:cs="宋体"/>
                      <w:i w:val="0"/>
                      <w:color w:val="003399"/>
                      <w:kern w:val="0"/>
                      <w:sz w:val="18"/>
                      <w:szCs w:val="18"/>
                      <w:u w:val="none"/>
                      <w:bdr w:val="none" w:color="auto" w:sz="0" w:space="0"/>
                      <w:lang w:val="en-US" w:eastAsia="zh-CN" w:bidi="ar"/>
                    </w:rPr>
                    <w:t>的考生</w:t>
                  </w:r>
                </w:p>
              </w:tc>
            </w:tr>
            <w:tr>
              <w:tblPrEx>
                <w:shd w:val="clear" w:color="auto" w:fill="CCCCCC"/>
                <w:tblCellMar>
                  <w:top w:w="0" w:type="dxa"/>
                  <w:left w:w="0" w:type="dxa"/>
                  <w:bottom w:w="0" w:type="dxa"/>
                  <w:right w:w="0" w:type="dxa"/>
                </w:tblCellMar>
              </w:tblPrEx>
              <w:trPr>
                <w:tblCellSpacing w:w="7" w:type="dxa"/>
              </w:trPr>
              <w:tc>
                <w:tcPr>
                  <w:tcW w:w="2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机械设计基础（20分）：零件的几何精度，平面机构的结构分析，平面连杆机构，凸轮机构，摩擦轮传动和带传动，齿轮传动，螺旋传动，轴，联轴器、离合器，支承，直线运动导轨，弹性元件。</w:t>
                  </w:r>
                </w:p>
              </w:tc>
              <w:tc>
                <w:tcPr>
                  <w:tcW w:w="1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《精密机械设计》庞振基等，机械工业出版社；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《机械原理》郑文纬高等教育出版社</w:t>
                  </w:r>
                </w:p>
              </w:tc>
              <w:tc>
                <w:tcPr>
                  <w:tcW w:w="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仅面向初试专业课科目</w:t>
                  </w:r>
                  <w:r>
                    <w:rPr>
                      <w:rStyle w:val="4"/>
                      <w:rFonts w:hint="eastAsia" w:ascii="宋体" w:hAnsi="宋体" w:eastAsia="宋体" w:cs="宋体"/>
                      <w:i w:val="0"/>
                      <w:color w:val="003399"/>
                      <w:kern w:val="0"/>
                      <w:sz w:val="18"/>
                      <w:szCs w:val="18"/>
                      <w:u w:val="none"/>
                      <w:bdr w:val="none" w:color="auto" w:sz="0" w:space="0"/>
                      <w:lang w:val="en-US" w:eastAsia="zh-CN" w:bidi="ar"/>
                    </w:rPr>
                    <w:t>“工程光学”</w:t>
                  </w:r>
                  <w:r>
                    <w:rPr>
                      <w:rFonts w:hint="eastAsia" w:ascii="宋体" w:hAnsi="宋体" w:eastAsia="宋体" w:cs="宋体"/>
                      <w:i w:val="0"/>
                      <w:color w:val="003399"/>
                      <w:kern w:val="0"/>
                      <w:sz w:val="18"/>
                      <w:szCs w:val="18"/>
                      <w:u w:val="none"/>
                      <w:bdr w:val="none" w:color="auto" w:sz="0" w:space="0"/>
                      <w:lang w:val="en-US" w:eastAsia="zh-CN" w:bidi="ar"/>
                    </w:rPr>
                    <w:t>的考生</w:t>
                  </w:r>
                </w:p>
              </w:tc>
            </w:tr>
            <w:tr>
              <w:tblPrEx>
                <w:tblCellMar>
                  <w:top w:w="0" w:type="dxa"/>
                  <w:left w:w="0" w:type="dxa"/>
                  <w:bottom w:w="0" w:type="dxa"/>
                  <w:right w:w="0" w:type="dxa"/>
                </w:tblCellMar>
              </w:tblPrEx>
              <w:trPr>
                <w:tblCellSpacing w:w="7" w:type="dxa"/>
              </w:trPr>
              <w:tc>
                <w:tcPr>
                  <w:tcW w:w="2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机械制造技术基础（20分）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机械加工质量分析，零件加工方法和制造工艺过程分析；</w:t>
                  </w:r>
                </w:p>
              </w:tc>
              <w:tc>
                <w:tcPr>
                  <w:tcW w:w="1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《机械制造技术基础》张福润，华中科技大学出版社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或《仪器制造技术》曲兴华，机械工业出版社</w:t>
                  </w:r>
                </w:p>
              </w:tc>
              <w:tc>
                <w:tcPr>
                  <w:tcW w:w="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 </w:t>
                  </w:r>
                </w:p>
              </w:tc>
            </w:tr>
            <w:tr>
              <w:tblPrEx>
                <w:tblCellMar>
                  <w:top w:w="0" w:type="dxa"/>
                  <w:left w:w="0" w:type="dxa"/>
                  <w:bottom w:w="0" w:type="dxa"/>
                  <w:right w:w="0" w:type="dxa"/>
                </w:tblCellMar>
              </w:tblPrEx>
              <w:trPr>
                <w:tblCellSpacing w:w="7" w:type="dxa"/>
              </w:trPr>
              <w:tc>
                <w:tcPr>
                  <w:tcW w:w="2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电路基础（20分）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半导体器件及电路基础，基本电路及分析基础，运算放大器电路，组合逻辑电路与触发器，振荡器</w:t>
                  </w:r>
                </w:p>
              </w:tc>
              <w:tc>
                <w:tcPr>
                  <w:tcW w:w="1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《模拟电子线路》、《数字电路与微型计算机原理》的数字电路部分，刘同怀等，中国科学技术大学出版社</w:t>
                  </w:r>
                </w:p>
              </w:tc>
              <w:tc>
                <w:tcPr>
                  <w:tcW w:w="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 </w:t>
                  </w:r>
                </w:p>
              </w:tc>
            </w:tr>
            <w:tr>
              <w:tblPrEx>
                <w:tblCellMar>
                  <w:top w:w="0" w:type="dxa"/>
                  <w:left w:w="0" w:type="dxa"/>
                  <w:bottom w:w="0" w:type="dxa"/>
                  <w:right w:w="0" w:type="dxa"/>
                </w:tblCellMar>
              </w:tblPrEx>
              <w:trPr>
                <w:tblCellSpacing w:w="7" w:type="dxa"/>
              </w:trPr>
              <w:tc>
                <w:tcPr>
                  <w:tcW w:w="2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测试技术（20分）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常用传感器的原理及应用，信号调理，相关分析原理，反馈式传感器原理，常用量的电测方法</w:t>
                  </w:r>
                </w:p>
              </w:tc>
              <w:tc>
                <w:tcPr>
                  <w:tcW w:w="1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《机械工程测试技术基础》黄长艺等，机械工业出版社；《非电量电测技术》吴道悌，西安交大出版社；</w:t>
                  </w:r>
                </w:p>
              </w:tc>
              <w:tc>
                <w:tcPr>
                  <w:tcW w:w="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 </w:t>
                  </w:r>
                </w:p>
              </w:tc>
            </w:tr>
            <w:tr>
              <w:tblPrEx>
                <w:tblCellMar>
                  <w:top w:w="0" w:type="dxa"/>
                  <w:left w:w="0" w:type="dxa"/>
                  <w:bottom w:w="0" w:type="dxa"/>
                  <w:right w:w="0" w:type="dxa"/>
                </w:tblCellMar>
              </w:tblPrEx>
              <w:trPr>
                <w:tblCellSpacing w:w="7" w:type="dxa"/>
              </w:trPr>
              <w:tc>
                <w:tcPr>
                  <w:tcW w:w="27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自动控制（20分）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控制系统微分方程的建立，拉氏变换及反变换，方框图及其简化，控制系统频率响应特性，伯得图的绘制，根轨迹绘制，控制系统稳定性分析。</w:t>
                  </w:r>
                </w:p>
              </w:tc>
              <w:tc>
                <w:tcPr>
                  <w:tcW w:w="1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《现代控制工程》尾形克彦，电子工业出版社；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《自动控制理论》邹伯敏等，机械工业出版社；</w:t>
                  </w:r>
                </w:p>
              </w:tc>
              <w:tc>
                <w:tcPr>
                  <w:tcW w:w="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 </w:t>
                  </w:r>
                </w:p>
              </w:tc>
            </w:tr>
          </w:tbl>
          <w:p>
            <w:pPr>
              <w:keepNext w:val="0"/>
              <w:keepLines w:val="0"/>
              <w:widowControl/>
              <w:suppressLineNumbers w:val="0"/>
              <w:jc w:val="left"/>
            </w:pPr>
            <w:r>
              <w:rPr>
                <w:rFonts w:hint="eastAsia" w:ascii="宋体" w:hAnsi="宋体" w:eastAsia="宋体" w:cs="宋体"/>
                <w:i w:val="0"/>
                <w:caps w:val="0"/>
                <w:color w:val="575757"/>
                <w:spacing w:val="0"/>
                <w:kern w:val="0"/>
                <w:sz w:val="18"/>
                <w:szCs w:val="18"/>
                <w:u w:val="none"/>
                <w:bdr w:val="none" w:color="auto" w:sz="0" w:space="0"/>
                <w:lang w:val="en-US" w:eastAsia="zh-CN" w:bidi="ar"/>
              </w:rPr>
              <w:t>2</w:t>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、面试内容</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1）口语交流，专业英文短文现场翻译;</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2）学科基础知识：机械类、测量/测试类、数控类、光学类、计算机应用类、机械CAD类、编程类（VB/VC）、科学计算类（Matlab、Ansys等）;</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3）综合素质实践能力等。</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六、复试成绩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：满分100分。笔试满分100分、面试满分100分，复试成绩=（笔试成绩+面试成绩）÷2。</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七、最终成绩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：满分100分。初试成绩不计政治、外语，复试成绩占比40%，即最终成绩=（初试成绩【不计政治、外语】+复试成绩×2）÷5。</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八、录取</w:t>
            </w:r>
            <w:r>
              <w:rPr>
                <w:rFonts w:hint="eastAsia" w:ascii="宋体" w:hAnsi="宋体" w:eastAsia="宋体" w:cs="宋体"/>
                <w:i w:val="0"/>
                <w:caps w:val="0"/>
                <w:color w:val="575757"/>
                <w:spacing w:val="0"/>
                <w:kern w:val="0"/>
                <w:sz w:val="18"/>
                <w:szCs w:val="18"/>
                <w:u w:val="none"/>
                <w:bdr w:val="none" w:color="auto" w:sz="0" w:space="0"/>
                <w:lang w:val="en-US" w:eastAsia="zh-CN" w:bidi="ar"/>
              </w:rPr>
              <w:t>：按最终成绩由高到低排序，提出拟录取名单报批。为保证招生质量，报批人数可小于招生计划。</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九、调剂</w:t>
            </w:r>
            <w:r>
              <w:rPr>
                <w:rFonts w:hint="eastAsia" w:ascii="宋体" w:hAnsi="宋体" w:eastAsia="宋体" w:cs="宋体"/>
                <w:i w:val="0"/>
                <w:caps w:val="0"/>
                <w:color w:val="575757"/>
                <w:spacing w:val="0"/>
                <w:kern w:val="0"/>
                <w:sz w:val="18"/>
                <w:szCs w:val="18"/>
                <w:u w:val="none"/>
                <w:bdr w:val="none" w:color="auto" w:sz="0" w:space="0"/>
                <w:lang w:val="en-US" w:eastAsia="zh-CN" w:bidi="ar"/>
              </w:rPr>
              <w:t>：本专业在生源不足的情况下接受调剂。调剂信息将于复试阶段在中国科大研究生招生在线网站（http://yz.ustc.edu.cn）发布。</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十、学费标准</w:t>
            </w:r>
            <w:r>
              <w:rPr>
                <w:rFonts w:hint="eastAsia" w:ascii="宋体" w:hAnsi="宋体" w:eastAsia="宋体" w:cs="宋体"/>
                <w:i w:val="0"/>
                <w:caps w:val="0"/>
                <w:color w:val="575757"/>
                <w:spacing w:val="0"/>
                <w:kern w:val="0"/>
                <w:sz w:val="18"/>
                <w:szCs w:val="18"/>
                <w:u w:val="none"/>
                <w:bdr w:val="none" w:color="auto" w:sz="0" w:space="0"/>
                <w:lang w:val="en-US" w:eastAsia="zh-CN" w:bidi="ar"/>
              </w:rPr>
              <w:t>：8000元/学年。  </w:t>
            </w:r>
          </w:p>
        </w:tc>
      </w:tr>
    </w:tbl>
    <w:p>
      <w:pPr>
        <w:rPr>
          <w:rFonts w:hint="eastAsia"/>
        </w:rPr>
      </w:pPr>
    </w:p>
    <w:p>
      <w:pPr>
        <w:rPr>
          <w:rFonts w:hint="eastAsia"/>
        </w:rPr>
      </w:pPr>
    </w:p>
    <w:p>
      <w:pPr>
        <w:rPr>
          <w:rFonts w:hint="eastAsia"/>
        </w:rPr>
      </w:pPr>
    </w:p>
    <w:tbl>
      <w:tblPr>
        <w:tblW w:w="11100" w:type="dxa"/>
        <w:tblCellSpacing w:w="0" w:type="dxa"/>
        <w:tblInd w:w="0" w:type="dxa"/>
        <w:shd w:val="clear" w:color="auto" w:fill="FFFFFF"/>
        <w:tblLayout w:type="autofit"/>
        <w:tblCellMar>
          <w:top w:w="0" w:type="dxa"/>
          <w:left w:w="0" w:type="dxa"/>
          <w:bottom w:w="0" w:type="dxa"/>
          <w:right w:w="0" w:type="dxa"/>
        </w:tblCellMar>
      </w:tblPr>
      <w:tblGrid>
        <w:gridCol w:w="11100"/>
      </w:tblGrid>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11100" w:type="dxa"/>
              <w:jc w:val="center"/>
              <w:tblCellSpacing w:w="15" w:type="dxa"/>
              <w:shd w:val="clear"/>
              <w:tblLayout w:type="autofit"/>
              <w:tblCellMar>
                <w:top w:w="0" w:type="dxa"/>
                <w:left w:w="0" w:type="dxa"/>
                <w:bottom w:w="0" w:type="dxa"/>
                <w:right w:w="0" w:type="dxa"/>
              </w:tblCellMar>
            </w:tblPr>
            <w:tblGrid>
              <w:gridCol w:w="3227"/>
              <w:gridCol w:w="1013"/>
              <w:gridCol w:w="1434"/>
              <w:gridCol w:w="2526"/>
              <w:gridCol w:w="2900"/>
            </w:tblGrid>
            <w:tr>
              <w:tblPrEx>
                <w:shd w:val="clear"/>
                <w:tblCellMar>
                  <w:top w:w="0" w:type="dxa"/>
                  <w:left w:w="0" w:type="dxa"/>
                  <w:bottom w:w="0" w:type="dxa"/>
                  <w:right w:w="0" w:type="dxa"/>
                </w:tblCellMar>
              </w:tblPrEx>
              <w:trPr>
                <w:trHeight w:val="450" w:hRule="atLeast"/>
                <w:tblCellSpacing w:w="15" w:type="dxa"/>
                <w:jc w:val="center"/>
              </w:trPr>
              <w:tc>
                <w:tcPr>
                  <w:tcW w:w="0" w:type="auto"/>
                  <w:gridSpan w:val="5"/>
                  <w:shd w:val="clear" w:color="auto" w:fill="DEF1FB"/>
                  <w:tcMar>
                    <w:left w:w="150" w:type="dxa"/>
                  </w:tcMar>
                  <w:vAlign w:val="center"/>
                </w:tcPr>
                <w:p>
                  <w:pPr>
                    <w:keepNext w:val="0"/>
                    <w:keepLines w:val="0"/>
                    <w:widowControl/>
                    <w:suppressLineNumbers w:val="0"/>
                    <w:shd w:val="clear" w:fill="DEF1FB"/>
                    <w:spacing w:line="330" w:lineRule="atLeast"/>
                    <w:jc w:val="left"/>
                    <w:rPr>
                      <w:rFonts w:hint="eastAsia" w:ascii="宋体" w:hAnsi="宋体" w:eastAsia="宋体" w:cs="宋体"/>
                      <w:b/>
                      <w:i w:val="0"/>
                      <w:color w:val="666666"/>
                      <w:sz w:val="18"/>
                      <w:szCs w:val="18"/>
                      <w:u w:val="none"/>
                    </w:rPr>
                  </w:pPr>
                  <w:r>
                    <w:rPr>
                      <w:rFonts w:hint="eastAsia" w:ascii="宋体" w:hAnsi="宋体" w:eastAsia="宋体" w:cs="宋体"/>
                      <w:b/>
                      <w:i w:val="0"/>
                      <w:color w:val="666666"/>
                      <w:kern w:val="0"/>
                      <w:sz w:val="18"/>
                      <w:szCs w:val="18"/>
                      <w:u w:val="none"/>
                      <w:bdr w:val="none" w:color="auto" w:sz="0" w:space="0"/>
                      <w:lang w:val="en-US" w:eastAsia="zh-CN" w:bidi="ar"/>
                    </w:rPr>
                    <w:t>学科专业名称：机械工程</w:t>
                  </w:r>
                  <w:r>
                    <w:rPr>
                      <w:rFonts w:hint="eastAsia" w:ascii="宋体" w:hAnsi="宋体" w:eastAsia="宋体" w:cs="宋体"/>
                      <w:b/>
                      <w:i w:val="0"/>
                      <w:color w:val="003399"/>
                      <w:kern w:val="0"/>
                      <w:sz w:val="18"/>
                      <w:szCs w:val="18"/>
                      <w:u w:val="none"/>
                      <w:bdr w:val="none" w:color="auto" w:sz="0" w:space="0"/>
                      <w:lang w:val="en-US" w:eastAsia="zh-CN" w:bidi="ar"/>
                    </w:rPr>
                    <w:t>（专业代码</w:t>
                  </w:r>
                  <w:r>
                    <w:rPr>
                      <w:rStyle w:val="4"/>
                      <w:rFonts w:hint="eastAsia" w:ascii="宋体" w:hAnsi="宋体" w:eastAsia="宋体" w:cs="宋体"/>
                      <w:i w:val="0"/>
                      <w:color w:val="003399"/>
                      <w:kern w:val="0"/>
                      <w:sz w:val="18"/>
                      <w:szCs w:val="18"/>
                      <w:u w:val="none"/>
                      <w:bdr w:val="none" w:color="auto" w:sz="0" w:space="0"/>
                      <w:lang w:val="en-US" w:eastAsia="zh-CN" w:bidi="ar"/>
                    </w:rPr>
                    <w:t>080200）</w:t>
                  </w:r>
                </w:p>
              </w:tc>
            </w:tr>
            <w:tr>
              <w:tblPrEx>
                <w:shd w:val="clear"/>
                <w:tblCellMar>
                  <w:top w:w="0" w:type="dxa"/>
                  <w:left w:w="0" w:type="dxa"/>
                  <w:bottom w:w="0" w:type="dxa"/>
                  <w:right w:w="0" w:type="dxa"/>
                </w:tblCellMar>
              </w:tblPrEx>
              <w:trPr>
                <w:trHeight w:val="30" w:hRule="atLeast"/>
                <w:tblCellSpacing w:w="15" w:type="dxa"/>
                <w:jc w:val="center"/>
              </w:trPr>
              <w:tc>
                <w:tcPr>
                  <w:tcW w:w="3060" w:type="dxa"/>
                  <w:shd w:val="clear"/>
                  <w:vAlign w:val="center"/>
                </w:tcPr>
                <w:p>
                  <w:pPr>
                    <w:rPr>
                      <w:rFonts w:hint="eastAsia" w:ascii="宋体"/>
                      <w:sz w:val="24"/>
                      <w:szCs w:val="24"/>
                    </w:rPr>
                  </w:pPr>
                </w:p>
              </w:tc>
              <w:tc>
                <w:tcPr>
                  <w:tcW w:w="945" w:type="dxa"/>
                  <w:shd w:val="clear"/>
                  <w:vAlign w:val="center"/>
                </w:tcPr>
                <w:p>
                  <w:pPr>
                    <w:rPr>
                      <w:rFonts w:hint="eastAsia" w:ascii="宋体"/>
                      <w:sz w:val="24"/>
                      <w:szCs w:val="24"/>
                    </w:rPr>
                  </w:pPr>
                </w:p>
              </w:tc>
              <w:tc>
                <w:tcPr>
                  <w:tcW w:w="1350" w:type="dxa"/>
                  <w:shd w:val="clear"/>
                  <w:vAlign w:val="center"/>
                </w:tcPr>
                <w:p>
                  <w:pPr>
                    <w:rPr>
                      <w:rFonts w:hint="eastAsia" w:ascii="宋体"/>
                      <w:sz w:val="24"/>
                      <w:szCs w:val="24"/>
                    </w:rPr>
                  </w:pPr>
                </w:p>
              </w:tc>
              <w:tc>
                <w:tcPr>
                  <w:tcW w:w="2400" w:type="dxa"/>
                  <w:shd w:val="clear"/>
                  <w:vAlign w:val="center"/>
                </w:tcPr>
                <w:p>
                  <w:pPr>
                    <w:rPr>
                      <w:rFonts w:hint="eastAsia" w:ascii="宋体"/>
                      <w:sz w:val="24"/>
                      <w:szCs w:val="24"/>
                    </w:rPr>
                  </w:pPr>
                </w:p>
              </w:tc>
              <w:tc>
                <w:tcPr>
                  <w:tcW w:w="2745" w:type="dxa"/>
                  <w:shd w:val="clear"/>
                  <w:vAlign w:val="center"/>
                </w:tcPr>
                <w:p>
                  <w:pPr>
                    <w:rPr>
                      <w:rFonts w:hint="eastAsia" w:ascii="宋体"/>
                      <w:sz w:val="24"/>
                      <w:szCs w:val="24"/>
                    </w:rPr>
                  </w:pPr>
                </w:p>
              </w:tc>
            </w:tr>
          </w:tbl>
          <w:p>
            <w:pPr>
              <w:rPr>
                <w:rFonts w:ascii="微软雅黑" w:hAnsi="微软雅黑" w:eastAsia="微软雅黑" w:cs="微软雅黑"/>
                <w:i w:val="0"/>
                <w:caps w:val="0"/>
                <w:color w:val="000000"/>
                <w:spacing w:val="0"/>
                <w:sz w:val="27"/>
                <w:szCs w:val="27"/>
              </w:rPr>
            </w:pPr>
          </w:p>
        </w:tc>
      </w:tr>
      <w:tr>
        <w:tblPrEx>
          <w:tblCellMar>
            <w:top w:w="0" w:type="dxa"/>
            <w:left w:w="0" w:type="dxa"/>
            <w:bottom w:w="0" w:type="dxa"/>
            <w:right w:w="0" w:type="dxa"/>
          </w:tblCellMar>
        </w:tblPrEx>
        <w:trPr>
          <w:tblCellSpacing w:w="0" w:type="dxa"/>
        </w:trPr>
        <w:tc>
          <w:tcPr>
            <w:tcW w:w="0" w:type="auto"/>
            <w:shd w:val="clear" w:color="auto" w:fill="FFFFFF"/>
            <w:tcMar>
              <w:top w:w="225" w:type="dxa"/>
              <w:left w:w="75" w:type="dxa"/>
              <w:bottom w:w="225" w:type="dxa"/>
              <w:right w:w="75" w:type="dxa"/>
            </w:tcMar>
            <w:vAlign w:val="center"/>
          </w:tcPr>
          <w:p>
            <w:pPr>
              <w:keepNext w:val="0"/>
              <w:keepLines w:val="0"/>
              <w:widowControl/>
              <w:suppressLineNumbers w:val="0"/>
              <w:spacing w:line="330" w:lineRule="atLeast"/>
              <w:ind w:left="0" w:firstLine="0"/>
              <w:jc w:val="left"/>
              <w:rPr>
                <w:rFonts w:hint="eastAsia" w:ascii="宋体" w:hAnsi="宋体" w:eastAsia="宋体" w:cs="宋体"/>
                <w:i w:val="0"/>
                <w:caps w:val="0"/>
                <w:color w:val="575757"/>
                <w:spacing w:val="0"/>
                <w:sz w:val="18"/>
                <w:szCs w:val="18"/>
                <w:u w:val="none"/>
              </w:rPr>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一、报考说明</w:t>
            </w:r>
            <w:r>
              <w:rPr>
                <w:rFonts w:hint="eastAsia" w:ascii="宋体" w:hAnsi="宋体" w:eastAsia="宋体" w:cs="宋体"/>
                <w:i w:val="0"/>
                <w:caps w:val="0"/>
                <w:color w:val="575757"/>
                <w:spacing w:val="0"/>
                <w:kern w:val="0"/>
                <w:sz w:val="18"/>
                <w:szCs w:val="18"/>
                <w:u w:val="none"/>
                <w:bdr w:val="none" w:color="auto" w:sz="0" w:space="0"/>
                <w:lang w:val="en-US" w:eastAsia="zh-CN" w:bidi="ar"/>
              </w:rPr>
              <w:t>：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推免为主，少量统考。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二、专业介绍</w:t>
            </w:r>
            <w:r>
              <w:rPr>
                <w:rFonts w:hint="eastAsia" w:ascii="宋体" w:hAnsi="宋体" w:eastAsia="宋体" w:cs="宋体"/>
                <w:i w:val="0"/>
                <w:caps w:val="0"/>
                <w:color w:val="575757"/>
                <w:spacing w:val="0"/>
                <w:kern w:val="0"/>
                <w:sz w:val="18"/>
                <w:szCs w:val="18"/>
                <w:u w:val="none"/>
                <w:bdr w:val="none" w:color="auto" w:sz="0" w:space="0"/>
                <w:lang w:val="en-US" w:eastAsia="zh-CN" w:bidi="ar"/>
              </w:rPr>
              <w:t>：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专业介绍主要内容包括：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机械电子工程080202：本学科涉及机械、光学、电子、计算机、自动控制、信息处理等多个领域，以机械理论、现代控制理论、计算机控制技术、工程测试与信号分析等为技术基础，以光机电一体化技术、传感器检测技术、现代数控技术和机电设备故障诊断等技术为专业技术，主要从事以光机电一体化技术研究领域为主体、与控制、信息科学等领域相关的理论、技术、工程应用方面的研究。本学科是理论和实践紧密结合的综合性技术学科，覆盖的应用领域包括国防技术装备、高新技术工业、交通、航空航天、医疗装备等等。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三、研究方向及初试科目</w:t>
            </w:r>
            <w:r>
              <w:rPr>
                <w:rFonts w:hint="eastAsia" w:ascii="宋体" w:hAnsi="宋体" w:eastAsia="宋体" w:cs="宋体"/>
                <w:i w:val="0"/>
                <w:caps w:val="0"/>
                <w:color w:val="575757"/>
                <w:spacing w:val="0"/>
                <w:kern w:val="0"/>
                <w:sz w:val="18"/>
                <w:szCs w:val="18"/>
                <w:u w:val="none"/>
                <w:bdr w:val="none" w:color="auto" w:sz="0" w:space="0"/>
                <w:lang w:val="en-US" w:eastAsia="zh-CN" w:bidi="ar"/>
              </w:rPr>
              <w:t>：</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5420"/>
              <w:gridCol w:w="5530"/>
            </w:tblGrid>
            <w:tr>
              <w:tblPrEx>
                <w:shd w:val="clear" w:color="auto" w:fill="CCCCCC"/>
                <w:tblCellMar>
                  <w:top w:w="0" w:type="dxa"/>
                  <w:left w:w="0" w:type="dxa"/>
                  <w:bottom w:w="0" w:type="dxa"/>
                  <w:right w:w="0" w:type="dxa"/>
                </w:tblCellMar>
              </w:tblPrEx>
              <w:trPr>
                <w:tblCellSpacing w:w="7" w:type="dxa"/>
              </w:trPr>
              <w:tc>
                <w:tcPr>
                  <w:tcW w:w="245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研究方向</w:t>
                  </w:r>
                </w:p>
              </w:tc>
              <w:tc>
                <w:tcPr>
                  <w:tcW w:w="250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初试科目</w:t>
                  </w:r>
                </w:p>
              </w:tc>
            </w:tr>
            <w:tr>
              <w:tblPrEx>
                <w:tblCellMar>
                  <w:top w:w="0" w:type="dxa"/>
                  <w:left w:w="0" w:type="dxa"/>
                  <w:bottom w:w="0" w:type="dxa"/>
                  <w:right w:w="0" w:type="dxa"/>
                </w:tblCellMar>
              </w:tblPrEx>
              <w:trPr>
                <w:tblCellSpacing w:w="7" w:type="dxa"/>
              </w:trPr>
              <w:tc>
                <w:tcPr>
                  <w:tcW w:w="24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1、智能微系统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2、微细加工技术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3、精密机电系统与智能仪器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4、仿生机器人技术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5、光电检测理论及技术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6、纳米技术与仪器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7、现代传感与测试信息技术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8、状态监测与故障诊断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9、数字化设计制造</w:t>
                  </w:r>
                </w:p>
              </w:tc>
              <w:tc>
                <w:tcPr>
                  <w:tcW w:w="25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101 思想政治理论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 英语一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301 数学一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814 工程光学或821机械设计</w:t>
                  </w:r>
                </w:p>
              </w:tc>
            </w:tr>
          </w:tbl>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四、复试形式</w:t>
            </w:r>
            <w:r>
              <w:rPr>
                <w:rFonts w:hint="eastAsia" w:ascii="宋体" w:hAnsi="宋体" w:eastAsia="宋体" w:cs="宋体"/>
                <w:i w:val="0"/>
                <w:caps w:val="0"/>
                <w:color w:val="575757"/>
                <w:spacing w:val="0"/>
                <w:kern w:val="0"/>
                <w:sz w:val="18"/>
                <w:szCs w:val="18"/>
                <w:u w:val="none"/>
                <w:bdr w:val="none" w:color="auto" w:sz="0" w:space="0"/>
                <w:lang w:val="en-US" w:eastAsia="zh-CN" w:bidi="ar"/>
              </w:rPr>
              <w:t>：笔试+面试。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五、复试内容</w:t>
            </w:r>
            <w:r>
              <w:rPr>
                <w:rFonts w:hint="eastAsia" w:ascii="宋体" w:hAnsi="宋体" w:eastAsia="宋体" w:cs="宋体"/>
                <w:i w:val="0"/>
                <w:caps w:val="0"/>
                <w:color w:val="575757"/>
                <w:spacing w:val="0"/>
                <w:kern w:val="0"/>
                <w:sz w:val="18"/>
                <w:szCs w:val="18"/>
                <w:u w:val="none"/>
                <w:bdr w:val="none" w:color="auto" w:sz="0" w:space="0"/>
                <w:lang w:val="en-US" w:eastAsia="zh-CN" w:bidi="ar"/>
              </w:rPr>
              <w:t>：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1、复试（笔试）试题覆盖范围</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5633"/>
              <w:gridCol w:w="3425"/>
              <w:gridCol w:w="1892"/>
            </w:tblGrid>
            <w:tr>
              <w:tblPrEx>
                <w:shd w:val="clear" w:color="auto" w:fill="CCCCCC"/>
                <w:tblCellMar>
                  <w:top w:w="0" w:type="dxa"/>
                  <w:left w:w="0" w:type="dxa"/>
                  <w:bottom w:w="0" w:type="dxa"/>
                  <w:right w:w="0" w:type="dxa"/>
                </w:tblCellMar>
              </w:tblPrEx>
              <w:trPr>
                <w:tblCellSpacing w:w="7" w:type="dxa"/>
              </w:trPr>
              <w:tc>
                <w:tcPr>
                  <w:tcW w:w="255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试题复试范围</w:t>
                  </w:r>
                </w:p>
              </w:tc>
              <w:tc>
                <w:tcPr>
                  <w:tcW w:w="155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参考教材</w:t>
                  </w:r>
                </w:p>
              </w:tc>
              <w:tc>
                <w:tcPr>
                  <w:tcW w:w="85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备注</w:t>
                  </w:r>
                </w:p>
              </w:tc>
            </w:tr>
            <w:tr>
              <w:tblPrEx>
                <w:shd w:val="clear" w:color="auto" w:fill="CCCCCC"/>
                <w:tblCellMar>
                  <w:top w:w="0" w:type="dxa"/>
                  <w:left w:w="0" w:type="dxa"/>
                  <w:bottom w:w="0" w:type="dxa"/>
                  <w:right w:w="0" w:type="dxa"/>
                </w:tblCellMar>
              </w:tblPrEx>
              <w:trPr>
                <w:tblCellSpacing w:w="7" w:type="dxa"/>
              </w:trPr>
              <w:tc>
                <w:tcPr>
                  <w:tcW w:w="25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工程光学（20分）：几何光学成像原理、平面零件成像、光阑和光能计算、光学系统成像质量评价，典型光学系统、光的干涉、衍射、偏振</w:t>
                  </w:r>
                </w:p>
              </w:tc>
              <w:tc>
                <w:tcPr>
                  <w:tcW w:w="15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《应用光学》胡玉禧，中国科大出版社；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《工程光学》郁道银等，机械工业出版社；</w:t>
                  </w:r>
                </w:p>
              </w:tc>
              <w:tc>
                <w:tcPr>
                  <w:tcW w:w="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仅面向初试专业课科目</w:t>
                  </w:r>
                  <w:r>
                    <w:rPr>
                      <w:rStyle w:val="4"/>
                      <w:rFonts w:hint="eastAsia" w:ascii="宋体" w:hAnsi="宋体" w:eastAsia="宋体" w:cs="宋体"/>
                      <w:i w:val="0"/>
                      <w:color w:val="003399"/>
                      <w:kern w:val="0"/>
                      <w:sz w:val="18"/>
                      <w:szCs w:val="18"/>
                      <w:u w:val="none"/>
                      <w:bdr w:val="none" w:color="auto" w:sz="0" w:space="0"/>
                      <w:lang w:val="en-US" w:eastAsia="zh-CN" w:bidi="ar"/>
                    </w:rPr>
                    <w:t>“机械设计”</w:t>
                  </w:r>
                  <w:r>
                    <w:rPr>
                      <w:rFonts w:hint="eastAsia" w:ascii="宋体" w:hAnsi="宋体" w:eastAsia="宋体" w:cs="宋体"/>
                      <w:i w:val="0"/>
                      <w:color w:val="003399"/>
                      <w:kern w:val="0"/>
                      <w:sz w:val="18"/>
                      <w:szCs w:val="18"/>
                      <w:u w:val="none"/>
                      <w:bdr w:val="none" w:color="auto" w:sz="0" w:space="0"/>
                      <w:lang w:val="en-US" w:eastAsia="zh-CN" w:bidi="ar"/>
                    </w:rPr>
                    <w:t>的考生</w:t>
                  </w:r>
                </w:p>
              </w:tc>
            </w:tr>
            <w:tr>
              <w:tblPrEx>
                <w:shd w:val="clear" w:color="auto" w:fill="CCCCCC"/>
                <w:tblCellMar>
                  <w:top w:w="0" w:type="dxa"/>
                  <w:left w:w="0" w:type="dxa"/>
                  <w:bottom w:w="0" w:type="dxa"/>
                  <w:right w:w="0" w:type="dxa"/>
                </w:tblCellMar>
              </w:tblPrEx>
              <w:trPr>
                <w:tblCellSpacing w:w="7" w:type="dxa"/>
              </w:trPr>
              <w:tc>
                <w:tcPr>
                  <w:tcW w:w="25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机械设计基础（20分）：零件的几何精度，平面机构的结构分析，平面连杆机构，凸轮机构，摩擦轮传动和带传动，齿轮传动，螺旋传动，轴，联轴器、离合器，支承，直线运动导轨，弹性元件。</w:t>
                  </w:r>
                </w:p>
              </w:tc>
              <w:tc>
                <w:tcPr>
                  <w:tcW w:w="15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《精密机械设计》庞振基等，机械工业出版社；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《机械原理》郑文纬高等教育出版社</w:t>
                  </w:r>
                </w:p>
              </w:tc>
              <w:tc>
                <w:tcPr>
                  <w:tcW w:w="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仅面向初试专业课科目</w:t>
                  </w:r>
                  <w:r>
                    <w:rPr>
                      <w:rStyle w:val="4"/>
                      <w:rFonts w:hint="eastAsia" w:ascii="宋体" w:hAnsi="宋体" w:eastAsia="宋体" w:cs="宋体"/>
                      <w:i w:val="0"/>
                      <w:color w:val="003399"/>
                      <w:kern w:val="0"/>
                      <w:sz w:val="18"/>
                      <w:szCs w:val="18"/>
                      <w:u w:val="none"/>
                      <w:bdr w:val="none" w:color="auto" w:sz="0" w:space="0"/>
                      <w:lang w:val="en-US" w:eastAsia="zh-CN" w:bidi="ar"/>
                    </w:rPr>
                    <w:t>“工程光学”</w:t>
                  </w:r>
                  <w:r>
                    <w:rPr>
                      <w:rFonts w:hint="eastAsia" w:ascii="宋体" w:hAnsi="宋体" w:eastAsia="宋体" w:cs="宋体"/>
                      <w:i w:val="0"/>
                      <w:color w:val="003399"/>
                      <w:kern w:val="0"/>
                      <w:sz w:val="18"/>
                      <w:szCs w:val="18"/>
                      <w:u w:val="none"/>
                      <w:bdr w:val="none" w:color="auto" w:sz="0" w:space="0"/>
                      <w:lang w:val="en-US" w:eastAsia="zh-CN" w:bidi="ar"/>
                    </w:rPr>
                    <w:t>的考生</w:t>
                  </w:r>
                </w:p>
              </w:tc>
            </w:tr>
            <w:tr>
              <w:tblPrEx>
                <w:shd w:val="clear" w:color="auto" w:fill="CCCCCC"/>
                <w:tblCellMar>
                  <w:top w:w="0" w:type="dxa"/>
                  <w:left w:w="0" w:type="dxa"/>
                  <w:bottom w:w="0" w:type="dxa"/>
                  <w:right w:w="0" w:type="dxa"/>
                </w:tblCellMar>
              </w:tblPrEx>
              <w:trPr>
                <w:tblCellSpacing w:w="7" w:type="dxa"/>
              </w:trPr>
              <w:tc>
                <w:tcPr>
                  <w:tcW w:w="25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机械制造技术基础（20分）</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机械加工质量分析，零件加工方法和制造工艺过程分析；</w:t>
                  </w:r>
                </w:p>
              </w:tc>
              <w:tc>
                <w:tcPr>
                  <w:tcW w:w="15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《机械制造技术基础》张福润，华中科技大学出版社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或《仪器制造技术》曲兴华，机械工业出版社</w:t>
                  </w:r>
                </w:p>
              </w:tc>
              <w:tc>
                <w:tcPr>
                  <w:tcW w:w="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 </w:t>
                  </w:r>
                </w:p>
              </w:tc>
            </w:tr>
            <w:tr>
              <w:tblPrEx>
                <w:shd w:val="clear" w:color="auto" w:fill="CCCCCC"/>
                <w:tblCellMar>
                  <w:top w:w="0" w:type="dxa"/>
                  <w:left w:w="0" w:type="dxa"/>
                  <w:bottom w:w="0" w:type="dxa"/>
                  <w:right w:w="0" w:type="dxa"/>
                </w:tblCellMar>
              </w:tblPrEx>
              <w:trPr>
                <w:tblCellSpacing w:w="7" w:type="dxa"/>
              </w:trPr>
              <w:tc>
                <w:tcPr>
                  <w:tcW w:w="25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电路基础（20分）</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半导体器件及电路基础，基本电路及分析基础，运算放大器电路，组合逻辑电路与触发器，振荡器</w:t>
                  </w:r>
                </w:p>
              </w:tc>
              <w:tc>
                <w:tcPr>
                  <w:tcW w:w="15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《模拟电子线路》、《数字电路与微型计算机原理》的数字电路部分，刘同怀等，中国科学技术大学出版社</w:t>
                  </w:r>
                </w:p>
              </w:tc>
              <w:tc>
                <w:tcPr>
                  <w:tcW w:w="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 </w:t>
                  </w:r>
                </w:p>
              </w:tc>
            </w:tr>
            <w:tr>
              <w:tblPrEx>
                <w:shd w:val="clear" w:color="auto" w:fill="CCCCCC"/>
                <w:tblCellMar>
                  <w:top w:w="0" w:type="dxa"/>
                  <w:left w:w="0" w:type="dxa"/>
                  <w:bottom w:w="0" w:type="dxa"/>
                  <w:right w:w="0" w:type="dxa"/>
                </w:tblCellMar>
              </w:tblPrEx>
              <w:trPr>
                <w:tblCellSpacing w:w="7" w:type="dxa"/>
              </w:trPr>
              <w:tc>
                <w:tcPr>
                  <w:tcW w:w="25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测试技术（20分）</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常用传感器的原理及应用，信号调理，相关分析原理，反馈式传感器原理，常用量的电测方法</w:t>
                  </w:r>
                </w:p>
              </w:tc>
              <w:tc>
                <w:tcPr>
                  <w:tcW w:w="15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《机械工程测试技术基础》黄长艺等，机械工业出版社；《非电量电测技术》吴道悌，西安交大出版社；</w:t>
                  </w:r>
                </w:p>
              </w:tc>
              <w:tc>
                <w:tcPr>
                  <w:tcW w:w="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 </w:t>
                  </w:r>
                </w:p>
              </w:tc>
            </w:tr>
            <w:tr>
              <w:tblPrEx>
                <w:shd w:val="clear" w:color="auto" w:fill="CCCCCC"/>
                <w:tblCellMar>
                  <w:top w:w="0" w:type="dxa"/>
                  <w:left w:w="0" w:type="dxa"/>
                  <w:bottom w:w="0" w:type="dxa"/>
                  <w:right w:w="0" w:type="dxa"/>
                </w:tblCellMar>
              </w:tblPrEx>
              <w:trPr>
                <w:tblCellSpacing w:w="7" w:type="dxa"/>
              </w:trPr>
              <w:tc>
                <w:tcPr>
                  <w:tcW w:w="25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自动控制（20分）</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控制系统微分方程的建立，拉氏变换及反变换，方框图及其简化，控制系统频率响应特性，伯得图的绘制，根轨迹绘制，控制系统稳定性分析。</w:t>
                  </w:r>
                </w:p>
              </w:tc>
              <w:tc>
                <w:tcPr>
                  <w:tcW w:w="15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《现代控制工程》尾形克彦，电子工业出版社；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《自动控制理论》邹伯敏等，机械工业出版社；</w:t>
                  </w:r>
                </w:p>
              </w:tc>
              <w:tc>
                <w:tcPr>
                  <w:tcW w:w="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 </w:t>
                  </w:r>
                </w:p>
              </w:tc>
            </w:tr>
          </w:tbl>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2、面试内容</w:t>
            </w:r>
            <w:r>
              <w:rPr>
                <w:rFonts w:hint="eastAsia" w:ascii="宋体" w:hAnsi="宋体" w:eastAsia="宋体" w:cs="宋体"/>
                <w:i w:val="0"/>
                <w:caps w:val="0"/>
                <w:color w:val="575757"/>
                <w:spacing w:val="0"/>
                <w:kern w:val="0"/>
                <w:sz w:val="18"/>
                <w:szCs w:val="18"/>
                <w:u w:val="none"/>
                <w:bdr w:val="none" w:color="auto" w:sz="0" w:space="0"/>
                <w:lang w:val="en-US" w:eastAsia="zh-CN" w:bidi="ar"/>
              </w:rPr>
              <w:t>：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1）口语交流，专业英文短文现场翻译;</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2）学科基础知识：机械类、测量/测试类、数控类、光学类、计算机应用类、机械CAD类、编程类（VB/VC）、科学计算类（Matlab、Ansys等）;</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3）综合素质实践能力等。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六、复试成绩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：满分100分。笔试满分100分、面试满分100分，复试成绩=（笔试成绩+面试成绩）÷2。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七、最终成绩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：满分100分。初试成绩不计政治、外语，复试成绩占比40%，即最终成绩=（初试成绩【不计政治、外语】+复试成绩×2）÷5。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八、录取</w:t>
            </w:r>
            <w:r>
              <w:rPr>
                <w:rFonts w:hint="eastAsia" w:ascii="宋体" w:hAnsi="宋体" w:eastAsia="宋体" w:cs="宋体"/>
                <w:i w:val="0"/>
                <w:caps w:val="0"/>
                <w:color w:val="575757"/>
                <w:spacing w:val="0"/>
                <w:kern w:val="0"/>
                <w:sz w:val="18"/>
                <w:szCs w:val="18"/>
                <w:u w:val="none"/>
                <w:bdr w:val="none" w:color="auto" w:sz="0" w:space="0"/>
                <w:lang w:val="en-US" w:eastAsia="zh-CN" w:bidi="ar"/>
              </w:rPr>
              <w:t>：按最终成绩由高到低排序，提出拟录取名单报批。为保证招生质量，报批人数可小于招生计划。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九、调剂</w:t>
            </w:r>
            <w:r>
              <w:rPr>
                <w:rFonts w:hint="eastAsia" w:ascii="宋体" w:hAnsi="宋体" w:eastAsia="宋体" w:cs="宋体"/>
                <w:i w:val="0"/>
                <w:caps w:val="0"/>
                <w:color w:val="575757"/>
                <w:spacing w:val="0"/>
                <w:kern w:val="0"/>
                <w:sz w:val="18"/>
                <w:szCs w:val="18"/>
                <w:u w:val="none"/>
                <w:bdr w:val="none" w:color="auto" w:sz="0" w:space="0"/>
                <w:lang w:val="en-US" w:eastAsia="zh-CN" w:bidi="ar"/>
              </w:rPr>
              <w:t>：本专业在生源不足的情况下接受调剂。调剂信息将于复试阶段在中国科大研究生招生在线网站（http://yz.ustc.edu.cn）发布。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十、学费标准</w:t>
            </w:r>
            <w:r>
              <w:rPr>
                <w:rFonts w:hint="eastAsia" w:ascii="宋体" w:hAnsi="宋体" w:eastAsia="宋体" w:cs="宋体"/>
                <w:i w:val="0"/>
                <w:caps w:val="0"/>
                <w:color w:val="575757"/>
                <w:spacing w:val="0"/>
                <w:kern w:val="0"/>
                <w:sz w:val="18"/>
                <w:szCs w:val="18"/>
                <w:u w:val="none"/>
                <w:bdr w:val="none" w:color="auto" w:sz="0" w:space="0"/>
                <w:lang w:val="en-US" w:eastAsia="zh-CN" w:bidi="ar"/>
              </w:rPr>
              <w:t>：8000元/学年。 </w:t>
            </w: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11100" w:type="dxa"/>
              <w:jc w:val="center"/>
              <w:tblCellSpacing w:w="15" w:type="dxa"/>
              <w:shd w:val="clear"/>
              <w:tblLayout w:type="autofit"/>
              <w:tblCellMar>
                <w:top w:w="0" w:type="dxa"/>
                <w:left w:w="0" w:type="dxa"/>
                <w:bottom w:w="0" w:type="dxa"/>
                <w:right w:w="0" w:type="dxa"/>
              </w:tblCellMar>
            </w:tblPr>
            <w:tblGrid>
              <w:gridCol w:w="3227"/>
              <w:gridCol w:w="1013"/>
              <w:gridCol w:w="1434"/>
              <w:gridCol w:w="2526"/>
              <w:gridCol w:w="2900"/>
            </w:tblGrid>
            <w:tr>
              <w:tblPrEx>
                <w:shd w:val="clear"/>
                <w:tblCellMar>
                  <w:top w:w="0" w:type="dxa"/>
                  <w:left w:w="0" w:type="dxa"/>
                  <w:bottom w:w="0" w:type="dxa"/>
                  <w:right w:w="0" w:type="dxa"/>
                </w:tblCellMar>
              </w:tblPrEx>
              <w:trPr>
                <w:trHeight w:val="450" w:hRule="atLeast"/>
                <w:tblCellSpacing w:w="15" w:type="dxa"/>
                <w:jc w:val="center"/>
              </w:trPr>
              <w:tc>
                <w:tcPr>
                  <w:tcW w:w="0" w:type="auto"/>
                  <w:gridSpan w:val="5"/>
                  <w:shd w:val="clear" w:color="auto" w:fill="DEF1FB"/>
                  <w:tcMar>
                    <w:left w:w="150" w:type="dxa"/>
                  </w:tcMar>
                  <w:vAlign w:val="center"/>
                </w:tcPr>
                <w:p>
                  <w:pPr>
                    <w:keepNext w:val="0"/>
                    <w:keepLines w:val="0"/>
                    <w:widowControl/>
                    <w:suppressLineNumbers w:val="0"/>
                    <w:shd w:val="clear" w:fill="DEF1FB"/>
                    <w:spacing w:line="330" w:lineRule="atLeast"/>
                    <w:jc w:val="left"/>
                    <w:rPr>
                      <w:rFonts w:hint="eastAsia" w:ascii="宋体" w:hAnsi="宋体" w:eastAsia="宋体" w:cs="宋体"/>
                      <w:b/>
                      <w:i w:val="0"/>
                      <w:color w:val="666666"/>
                      <w:sz w:val="18"/>
                      <w:szCs w:val="18"/>
                      <w:u w:val="none"/>
                    </w:rPr>
                  </w:pPr>
                  <w:r>
                    <w:rPr>
                      <w:rFonts w:hint="eastAsia" w:ascii="宋体" w:hAnsi="宋体" w:eastAsia="宋体" w:cs="宋体"/>
                      <w:b/>
                      <w:i w:val="0"/>
                      <w:color w:val="666666"/>
                      <w:kern w:val="0"/>
                      <w:sz w:val="18"/>
                      <w:szCs w:val="18"/>
                      <w:u w:val="none"/>
                      <w:bdr w:val="none" w:color="auto" w:sz="0" w:space="0"/>
                      <w:lang w:val="en-US" w:eastAsia="zh-CN" w:bidi="ar"/>
                    </w:rPr>
                    <w:t>学科专业名称：电子信息</w:t>
                  </w:r>
                  <w:r>
                    <w:rPr>
                      <w:rFonts w:hint="eastAsia" w:ascii="宋体" w:hAnsi="宋体" w:eastAsia="宋体" w:cs="宋体"/>
                      <w:b/>
                      <w:i w:val="0"/>
                      <w:color w:val="003399"/>
                      <w:kern w:val="0"/>
                      <w:sz w:val="18"/>
                      <w:szCs w:val="18"/>
                      <w:u w:val="none"/>
                      <w:bdr w:val="none" w:color="auto" w:sz="0" w:space="0"/>
                      <w:lang w:val="en-US" w:eastAsia="zh-CN" w:bidi="ar"/>
                    </w:rPr>
                    <w:t>（专业代码</w:t>
                  </w:r>
                  <w:r>
                    <w:rPr>
                      <w:rStyle w:val="4"/>
                      <w:rFonts w:hint="eastAsia" w:ascii="宋体" w:hAnsi="宋体" w:eastAsia="宋体" w:cs="宋体"/>
                      <w:i w:val="0"/>
                      <w:color w:val="003399"/>
                      <w:kern w:val="0"/>
                      <w:sz w:val="18"/>
                      <w:szCs w:val="18"/>
                      <w:u w:val="none"/>
                      <w:bdr w:val="none" w:color="auto" w:sz="0" w:space="0"/>
                      <w:lang w:val="en-US" w:eastAsia="zh-CN" w:bidi="ar"/>
                    </w:rPr>
                    <w:t>085400）</w:t>
                  </w:r>
                </w:p>
              </w:tc>
            </w:tr>
            <w:tr>
              <w:tblPrEx>
                <w:shd w:val="clear"/>
                <w:tblCellMar>
                  <w:top w:w="0" w:type="dxa"/>
                  <w:left w:w="0" w:type="dxa"/>
                  <w:bottom w:w="0" w:type="dxa"/>
                  <w:right w:w="0" w:type="dxa"/>
                </w:tblCellMar>
              </w:tblPrEx>
              <w:trPr>
                <w:trHeight w:val="30" w:hRule="atLeast"/>
                <w:tblCellSpacing w:w="15" w:type="dxa"/>
                <w:jc w:val="center"/>
              </w:trPr>
              <w:tc>
                <w:tcPr>
                  <w:tcW w:w="3060" w:type="dxa"/>
                  <w:shd w:val="clear"/>
                  <w:vAlign w:val="center"/>
                </w:tcPr>
                <w:p>
                  <w:pPr>
                    <w:rPr>
                      <w:rFonts w:hint="eastAsia" w:ascii="宋体"/>
                      <w:sz w:val="24"/>
                      <w:szCs w:val="24"/>
                    </w:rPr>
                  </w:pPr>
                </w:p>
              </w:tc>
              <w:tc>
                <w:tcPr>
                  <w:tcW w:w="945" w:type="dxa"/>
                  <w:shd w:val="clear"/>
                  <w:vAlign w:val="center"/>
                </w:tcPr>
                <w:p>
                  <w:pPr>
                    <w:rPr>
                      <w:rFonts w:hint="eastAsia" w:ascii="宋体"/>
                      <w:sz w:val="24"/>
                      <w:szCs w:val="24"/>
                    </w:rPr>
                  </w:pPr>
                </w:p>
              </w:tc>
              <w:tc>
                <w:tcPr>
                  <w:tcW w:w="1350" w:type="dxa"/>
                  <w:shd w:val="clear"/>
                  <w:vAlign w:val="center"/>
                </w:tcPr>
                <w:p>
                  <w:pPr>
                    <w:rPr>
                      <w:rFonts w:hint="eastAsia" w:ascii="宋体"/>
                      <w:sz w:val="24"/>
                      <w:szCs w:val="24"/>
                    </w:rPr>
                  </w:pPr>
                </w:p>
              </w:tc>
              <w:tc>
                <w:tcPr>
                  <w:tcW w:w="2400" w:type="dxa"/>
                  <w:shd w:val="clear"/>
                  <w:vAlign w:val="center"/>
                </w:tcPr>
                <w:p>
                  <w:pPr>
                    <w:rPr>
                      <w:rFonts w:hint="eastAsia" w:ascii="宋体"/>
                      <w:sz w:val="24"/>
                      <w:szCs w:val="24"/>
                    </w:rPr>
                  </w:pPr>
                </w:p>
              </w:tc>
              <w:tc>
                <w:tcPr>
                  <w:tcW w:w="2745" w:type="dxa"/>
                  <w:shd w:val="clear"/>
                  <w:vAlign w:val="center"/>
                </w:tcPr>
                <w:p>
                  <w:pPr>
                    <w:rPr>
                      <w:rFonts w:hint="eastAsia" w:ascii="宋体"/>
                      <w:sz w:val="24"/>
                      <w:szCs w:val="24"/>
                    </w:rPr>
                  </w:pPr>
                </w:p>
              </w:tc>
            </w:tr>
          </w:tbl>
          <w:p>
            <w:pPr>
              <w:rPr>
                <w:rFonts w:ascii="微软雅黑" w:hAnsi="微软雅黑" w:eastAsia="微软雅黑" w:cs="微软雅黑"/>
                <w:i w:val="0"/>
                <w:caps w:val="0"/>
                <w:color w:val="000000"/>
                <w:spacing w:val="0"/>
                <w:sz w:val="27"/>
                <w:szCs w:val="27"/>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tcMar>
              <w:top w:w="225" w:type="dxa"/>
              <w:left w:w="75" w:type="dxa"/>
              <w:bottom w:w="225" w:type="dxa"/>
              <w:right w:w="75" w:type="dxa"/>
            </w:tcMar>
            <w:vAlign w:val="center"/>
          </w:tcPr>
          <w:p>
            <w:pPr>
              <w:keepNext w:val="0"/>
              <w:keepLines w:val="0"/>
              <w:widowControl/>
              <w:suppressLineNumbers w:val="0"/>
              <w:spacing w:line="330" w:lineRule="atLeast"/>
              <w:ind w:left="0" w:firstLine="0"/>
              <w:jc w:val="left"/>
              <w:rPr>
                <w:rFonts w:hint="eastAsia" w:ascii="宋体" w:hAnsi="宋体" w:eastAsia="宋体" w:cs="宋体"/>
                <w:i w:val="0"/>
                <w:caps w:val="0"/>
                <w:color w:val="575757"/>
                <w:spacing w:val="0"/>
                <w:sz w:val="18"/>
                <w:szCs w:val="18"/>
                <w:u w:val="none"/>
              </w:rPr>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一、报考说明</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推免为主，少量统考。</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二、专业介绍</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仪器仪表是人类获取信息、认识自然、改造自然的重要工具。广泛涉及到国民经济、科学研究和与人们日常生产相关的各个方面，是提供检测、计量、监测和控制装置、设备与技术的综合性工程领域，为人类社会提供了重要的物质技术保障。随着激光技术、电子学技术、自动化技术、精密机械技术、计算机及软件技术的飞速发展，以及新材料、新工艺的不断出现，不仅充实和丰富了仪器仪表工程学科领域的基础，而且拓宽和发展了本学科的研究领域，使得仪器仪表向精密化、自动化、智能化、集成化、微型化和多功能方向发展。</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本工程领域涉及工程光学、传感技术、电子技术、计算机技术、精密机械、现代测控技术与系统，以及精密仪器及自动仪表设计、制造、试验、使用、维修等基础理论、技术和方法，现已发展成为以精密机械、电子学、光电工程、计算机科学、检测技术及自动化等学科相互交叉和渗透的综合性工程领域。</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三、研究方向及初试科目</w:t>
            </w:r>
            <w:r>
              <w:rPr>
                <w:rFonts w:hint="eastAsia" w:ascii="宋体" w:hAnsi="宋体" w:eastAsia="宋体" w:cs="宋体"/>
                <w:i w:val="0"/>
                <w:caps w:val="0"/>
                <w:color w:val="575757"/>
                <w:spacing w:val="0"/>
                <w:kern w:val="0"/>
                <w:sz w:val="18"/>
                <w:szCs w:val="18"/>
                <w:u w:val="none"/>
                <w:bdr w:val="none" w:color="auto" w:sz="0" w:space="0"/>
                <w:lang w:val="en-US" w:eastAsia="zh-CN" w:bidi="ar"/>
              </w:rPr>
              <w:t>：</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4098"/>
              <w:gridCol w:w="6852"/>
            </w:tblGrid>
            <w:tr>
              <w:tblPrEx>
                <w:shd w:val="clear" w:color="auto" w:fill="CCCCCC"/>
              </w:tblPrEx>
              <w:trPr>
                <w:tblCellSpacing w:w="7" w:type="dxa"/>
              </w:trPr>
              <w:tc>
                <w:tcPr>
                  <w:tcW w:w="185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研究方向</w:t>
                  </w:r>
                </w:p>
              </w:tc>
              <w:tc>
                <w:tcPr>
                  <w:tcW w:w="310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初试科目</w:t>
                  </w:r>
                </w:p>
              </w:tc>
            </w:tr>
            <w:tr>
              <w:trPr>
                <w:tblCellSpacing w:w="7" w:type="dxa"/>
              </w:trPr>
              <w:tc>
                <w:tcPr>
                  <w:tcW w:w="1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1、仪器仪表工程</w:t>
                  </w:r>
                </w:p>
              </w:tc>
              <w:tc>
                <w:tcPr>
                  <w:tcW w:w="31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101 思想政治理论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204 英语二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302 数学二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814 工程光学或821机械设计</w:t>
                  </w:r>
                </w:p>
              </w:tc>
            </w:tr>
          </w:tbl>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四、复试形式</w:t>
            </w:r>
            <w:r>
              <w:rPr>
                <w:rFonts w:hint="eastAsia" w:ascii="宋体" w:hAnsi="宋体" w:eastAsia="宋体" w:cs="宋体"/>
                <w:i w:val="0"/>
                <w:caps w:val="0"/>
                <w:color w:val="575757"/>
                <w:spacing w:val="0"/>
                <w:kern w:val="0"/>
                <w:sz w:val="18"/>
                <w:szCs w:val="18"/>
                <w:u w:val="none"/>
                <w:bdr w:val="none" w:color="auto" w:sz="0" w:space="0"/>
                <w:lang w:val="en-US" w:eastAsia="zh-CN" w:bidi="ar"/>
              </w:rPr>
              <w:t>：笔试+面试。</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五、复试内容</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1、复试（笔试）试题覆盖范围</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5963"/>
              <w:gridCol w:w="3425"/>
              <w:gridCol w:w="1562"/>
            </w:tblGrid>
            <w:tr>
              <w:tblPrEx>
                <w:tblCellMar>
                  <w:top w:w="0" w:type="dxa"/>
                  <w:left w:w="0" w:type="dxa"/>
                  <w:bottom w:w="0" w:type="dxa"/>
                  <w:right w:w="0" w:type="dxa"/>
                </w:tblCellMar>
              </w:tblPrEx>
              <w:trPr>
                <w:tblCellSpacing w:w="7" w:type="dxa"/>
              </w:trPr>
              <w:tc>
                <w:tcPr>
                  <w:tcW w:w="270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试题复试范围</w:t>
                  </w:r>
                </w:p>
              </w:tc>
              <w:tc>
                <w:tcPr>
                  <w:tcW w:w="155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参考教材</w:t>
                  </w:r>
                </w:p>
              </w:tc>
              <w:tc>
                <w:tcPr>
                  <w:tcW w:w="70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备注</w:t>
                  </w:r>
                </w:p>
              </w:tc>
            </w:tr>
            <w:tr>
              <w:tblPrEx>
                <w:tblCellMar>
                  <w:top w:w="0" w:type="dxa"/>
                  <w:left w:w="0" w:type="dxa"/>
                  <w:bottom w:w="0" w:type="dxa"/>
                  <w:right w:w="0" w:type="dxa"/>
                </w:tblCellMar>
              </w:tblPrEx>
              <w:trPr>
                <w:tblCellSpacing w:w="7" w:type="dxa"/>
              </w:trPr>
              <w:tc>
                <w:tcPr>
                  <w:tcW w:w="2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工程光学（20分）：几何光学成像原理、平面零件成像、光阑和光能计算、光学系统成像质量评价，典型光学系统、光的干涉、衍射、偏振</w:t>
                  </w:r>
                </w:p>
              </w:tc>
              <w:tc>
                <w:tcPr>
                  <w:tcW w:w="15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《应用光学》胡玉禧，中国科大出版社；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《工程光学》郁道银等，机械工业出版社；</w:t>
                  </w:r>
                </w:p>
              </w:tc>
              <w:tc>
                <w:tcPr>
                  <w:tcW w:w="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仅面向初试专业课科目</w:t>
                  </w:r>
                  <w:r>
                    <w:rPr>
                      <w:rStyle w:val="4"/>
                      <w:rFonts w:hint="eastAsia" w:ascii="宋体" w:hAnsi="宋体" w:eastAsia="宋体" w:cs="宋体"/>
                      <w:i w:val="0"/>
                      <w:color w:val="003399"/>
                      <w:kern w:val="0"/>
                      <w:sz w:val="18"/>
                      <w:szCs w:val="18"/>
                      <w:u w:val="none"/>
                      <w:bdr w:val="none" w:color="auto" w:sz="0" w:space="0"/>
                      <w:lang w:val="en-US" w:eastAsia="zh-CN" w:bidi="ar"/>
                    </w:rPr>
                    <w:t>“机械设计”</w:t>
                  </w:r>
                  <w:r>
                    <w:rPr>
                      <w:rFonts w:hint="eastAsia" w:ascii="宋体" w:hAnsi="宋体" w:eastAsia="宋体" w:cs="宋体"/>
                      <w:i w:val="0"/>
                      <w:color w:val="003399"/>
                      <w:kern w:val="0"/>
                      <w:sz w:val="18"/>
                      <w:szCs w:val="18"/>
                      <w:u w:val="none"/>
                      <w:bdr w:val="none" w:color="auto" w:sz="0" w:space="0"/>
                      <w:lang w:val="en-US" w:eastAsia="zh-CN" w:bidi="ar"/>
                    </w:rPr>
                    <w:t>的考生</w:t>
                  </w:r>
                </w:p>
              </w:tc>
            </w:tr>
            <w:tr>
              <w:tblPrEx>
                <w:tblCellMar>
                  <w:top w:w="0" w:type="dxa"/>
                  <w:left w:w="0" w:type="dxa"/>
                  <w:bottom w:w="0" w:type="dxa"/>
                  <w:right w:w="0" w:type="dxa"/>
                </w:tblCellMar>
              </w:tblPrEx>
              <w:trPr>
                <w:tblCellSpacing w:w="7" w:type="dxa"/>
              </w:trPr>
              <w:tc>
                <w:tcPr>
                  <w:tcW w:w="2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机械设计基础（20分）：零件的几何精度，平面机构的结构分析，平面连杆机构，凸轮机构，摩擦轮传动和带传动，齿轮传动，螺旋传动，轴，联轴器、离合器，支承，直线运动导轨，弹性元件。</w:t>
                  </w:r>
                </w:p>
              </w:tc>
              <w:tc>
                <w:tcPr>
                  <w:tcW w:w="15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《精密机械设计》庞振基等，机械工业出版社；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《机械原理》郑文纬高等教育出版社</w:t>
                  </w:r>
                </w:p>
              </w:tc>
              <w:tc>
                <w:tcPr>
                  <w:tcW w:w="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仅面向初试专业课科目</w:t>
                  </w:r>
                  <w:r>
                    <w:rPr>
                      <w:rStyle w:val="4"/>
                      <w:rFonts w:hint="eastAsia" w:ascii="宋体" w:hAnsi="宋体" w:eastAsia="宋体" w:cs="宋体"/>
                      <w:i w:val="0"/>
                      <w:color w:val="003399"/>
                      <w:kern w:val="0"/>
                      <w:sz w:val="18"/>
                      <w:szCs w:val="18"/>
                      <w:u w:val="none"/>
                      <w:bdr w:val="none" w:color="auto" w:sz="0" w:space="0"/>
                      <w:lang w:val="en-US" w:eastAsia="zh-CN" w:bidi="ar"/>
                    </w:rPr>
                    <w:t>“工程光学”</w:t>
                  </w:r>
                  <w:r>
                    <w:rPr>
                      <w:rFonts w:hint="eastAsia" w:ascii="宋体" w:hAnsi="宋体" w:eastAsia="宋体" w:cs="宋体"/>
                      <w:i w:val="0"/>
                      <w:color w:val="003399"/>
                      <w:kern w:val="0"/>
                      <w:sz w:val="18"/>
                      <w:szCs w:val="18"/>
                      <w:u w:val="none"/>
                      <w:bdr w:val="none" w:color="auto" w:sz="0" w:space="0"/>
                      <w:lang w:val="en-US" w:eastAsia="zh-CN" w:bidi="ar"/>
                    </w:rPr>
                    <w:t>的考生</w:t>
                  </w:r>
                </w:p>
              </w:tc>
            </w:tr>
            <w:tr>
              <w:tblPrEx>
                <w:tblCellMar>
                  <w:top w:w="0" w:type="dxa"/>
                  <w:left w:w="0" w:type="dxa"/>
                  <w:bottom w:w="0" w:type="dxa"/>
                  <w:right w:w="0" w:type="dxa"/>
                </w:tblCellMar>
              </w:tblPrEx>
              <w:trPr>
                <w:tblCellSpacing w:w="7" w:type="dxa"/>
              </w:trPr>
              <w:tc>
                <w:tcPr>
                  <w:tcW w:w="2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机械制造技术基础（20分）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机械加工质量分析，零件加工方法和制造工艺过程分析；</w:t>
                  </w:r>
                </w:p>
              </w:tc>
              <w:tc>
                <w:tcPr>
                  <w:tcW w:w="15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《机械制造技术基础》张福润，华中科技大学出版社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或《仪器制造技术》曲兴华，机械工业出版社</w:t>
                  </w:r>
                </w:p>
              </w:tc>
              <w:tc>
                <w:tcPr>
                  <w:tcW w:w="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 </w:t>
                  </w:r>
                </w:p>
              </w:tc>
            </w:tr>
            <w:tr>
              <w:tblPrEx>
                <w:shd w:val="clear" w:color="auto" w:fill="CCCCCC"/>
                <w:tblCellMar>
                  <w:top w:w="0" w:type="dxa"/>
                  <w:left w:w="0" w:type="dxa"/>
                  <w:bottom w:w="0" w:type="dxa"/>
                  <w:right w:w="0" w:type="dxa"/>
                </w:tblCellMar>
              </w:tblPrEx>
              <w:trPr>
                <w:tblCellSpacing w:w="7" w:type="dxa"/>
              </w:trPr>
              <w:tc>
                <w:tcPr>
                  <w:tcW w:w="2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电路基础（20分）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半导体器件及电路基础，基本电路及分析基础，运算放大器电路，组合逻辑电路与触发器，振荡器</w:t>
                  </w:r>
                </w:p>
              </w:tc>
              <w:tc>
                <w:tcPr>
                  <w:tcW w:w="15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《模拟电子线路》、《数字电路与微型计算机原理》的数字电路部分，刘同怀等，中国科学技术大学出版社</w:t>
                  </w:r>
                </w:p>
              </w:tc>
              <w:tc>
                <w:tcPr>
                  <w:tcW w:w="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 </w:t>
                  </w:r>
                </w:p>
              </w:tc>
            </w:tr>
            <w:tr>
              <w:tblPrEx>
                <w:tblCellMar>
                  <w:top w:w="0" w:type="dxa"/>
                  <w:left w:w="0" w:type="dxa"/>
                  <w:bottom w:w="0" w:type="dxa"/>
                  <w:right w:w="0" w:type="dxa"/>
                </w:tblCellMar>
              </w:tblPrEx>
              <w:trPr>
                <w:tblCellSpacing w:w="7" w:type="dxa"/>
              </w:trPr>
              <w:tc>
                <w:tcPr>
                  <w:tcW w:w="2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测试技术（20分）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常用传感器的原理及应用，信号调理，相关分析原理，反馈式传感器原理，常用量的电测方法</w:t>
                  </w:r>
                </w:p>
              </w:tc>
              <w:tc>
                <w:tcPr>
                  <w:tcW w:w="15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《机械工程测试技术基础》黄长艺等，机械工业出版社；《非电量电测技术》吴道悌，西安交大出版社；</w:t>
                  </w:r>
                </w:p>
              </w:tc>
              <w:tc>
                <w:tcPr>
                  <w:tcW w:w="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 </w:t>
                  </w:r>
                </w:p>
              </w:tc>
            </w:tr>
            <w:tr>
              <w:tblPrEx>
                <w:shd w:val="clear" w:color="auto" w:fill="CCCCCC"/>
                <w:tblCellMar>
                  <w:top w:w="0" w:type="dxa"/>
                  <w:left w:w="0" w:type="dxa"/>
                  <w:bottom w:w="0" w:type="dxa"/>
                  <w:right w:w="0" w:type="dxa"/>
                </w:tblCellMar>
              </w:tblPrEx>
              <w:trPr>
                <w:tblCellSpacing w:w="7" w:type="dxa"/>
              </w:trPr>
              <w:tc>
                <w:tcPr>
                  <w:tcW w:w="2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自动控制（20分）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控制系统微分方程的建立，拉氏变换及反变换，方框图及其简化，控制系统频率响应特性，伯得图的绘制，根轨迹绘制，控制系统稳定性分析。</w:t>
                  </w:r>
                </w:p>
              </w:tc>
              <w:tc>
                <w:tcPr>
                  <w:tcW w:w="15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《现代控制工程》尾形克彦，电子工业出版社；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《自动控制理论》邹伯敏等，机械工业出版社；</w:t>
                  </w:r>
                </w:p>
              </w:tc>
              <w:tc>
                <w:tcPr>
                  <w:tcW w:w="7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 </w:t>
                  </w:r>
                </w:p>
              </w:tc>
            </w:tr>
          </w:tbl>
          <w:p>
            <w:pPr>
              <w:keepNext w:val="0"/>
              <w:keepLines w:val="0"/>
              <w:widowControl/>
              <w:suppressLineNumbers w:val="0"/>
              <w:jc w:val="left"/>
            </w:pPr>
            <w:r>
              <w:rPr>
                <w:rFonts w:hint="eastAsia" w:ascii="宋体" w:hAnsi="宋体" w:eastAsia="宋体" w:cs="宋体"/>
                <w:i w:val="0"/>
                <w:caps w:val="0"/>
                <w:color w:val="575757"/>
                <w:spacing w:val="0"/>
                <w:kern w:val="0"/>
                <w:sz w:val="18"/>
                <w:szCs w:val="18"/>
                <w:u w:val="none"/>
                <w:bdr w:val="none" w:color="auto" w:sz="0" w:space="0"/>
                <w:lang w:val="en-US" w:eastAsia="zh-CN" w:bidi="ar"/>
              </w:rPr>
              <w:t>2</w:t>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、面试内容</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1）口语交流，专业英文短文现场翻译；</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2）学科基础知识：机械类、测量/测试类、数控类、光学类、计算机应用类、机械CAD类、编程类（VB/VC）、科学计算类（Matlab、Ansys等）；</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3）综合素质实践能力等。</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六、复试成绩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：满分100分。笔试满分100分、面试满分100分，复试成绩=（笔试成绩+面试成绩）÷2。</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七、最终成绩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：满分100分。初试成绩不计政治、外语，复试成绩占比40%，即最终成绩=（初试成绩【不计政治、外语】+复试成绩×2）÷5。</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八、录取</w:t>
            </w:r>
            <w:r>
              <w:rPr>
                <w:rFonts w:hint="eastAsia" w:ascii="宋体" w:hAnsi="宋体" w:eastAsia="宋体" w:cs="宋体"/>
                <w:i w:val="0"/>
                <w:caps w:val="0"/>
                <w:color w:val="575757"/>
                <w:spacing w:val="0"/>
                <w:kern w:val="0"/>
                <w:sz w:val="18"/>
                <w:szCs w:val="18"/>
                <w:u w:val="none"/>
                <w:bdr w:val="none" w:color="auto" w:sz="0" w:space="0"/>
                <w:lang w:val="en-US" w:eastAsia="zh-CN" w:bidi="ar"/>
              </w:rPr>
              <w:t>：按最终成绩由高到低排序，提出拟录取名单报批。为保证招生质量，报批人数可小于招生计划。</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九、调剂</w:t>
            </w:r>
            <w:r>
              <w:rPr>
                <w:rFonts w:hint="eastAsia" w:ascii="宋体" w:hAnsi="宋体" w:eastAsia="宋体" w:cs="宋体"/>
                <w:i w:val="0"/>
                <w:caps w:val="0"/>
                <w:color w:val="575757"/>
                <w:spacing w:val="0"/>
                <w:kern w:val="0"/>
                <w:sz w:val="18"/>
                <w:szCs w:val="18"/>
                <w:u w:val="none"/>
                <w:bdr w:val="none" w:color="auto" w:sz="0" w:space="0"/>
                <w:lang w:val="en-US" w:eastAsia="zh-CN" w:bidi="ar"/>
              </w:rPr>
              <w:t>：本专业在生源不足的情况下接受调剂。调剂信息将于复试阶段在中国科大研究生招生在线网站（http://yz.ustc.edu.cn）发布。</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十、学费标准</w:t>
            </w:r>
            <w:r>
              <w:rPr>
                <w:rFonts w:hint="eastAsia" w:ascii="宋体" w:hAnsi="宋体" w:eastAsia="宋体" w:cs="宋体"/>
                <w:i w:val="0"/>
                <w:caps w:val="0"/>
                <w:color w:val="575757"/>
                <w:spacing w:val="0"/>
                <w:kern w:val="0"/>
                <w:sz w:val="18"/>
                <w:szCs w:val="18"/>
                <w:u w:val="none"/>
                <w:bdr w:val="none" w:color="auto" w:sz="0" w:space="0"/>
                <w:lang w:val="en-US" w:eastAsia="zh-CN" w:bidi="ar"/>
              </w:rPr>
              <w:t>：8000元/学年。</w:t>
            </w:r>
          </w:p>
        </w:tc>
      </w:tr>
    </w:tbl>
    <w:p>
      <w:pPr>
        <w:rPr>
          <w:rFonts w:hint="eastAsia"/>
        </w:rPr>
      </w:pPr>
    </w:p>
    <w:p>
      <w:pPr>
        <w:rPr>
          <w:rFonts w:hint="eastAsia"/>
        </w:rPr>
      </w:pPr>
    </w:p>
    <w:p>
      <w:pPr>
        <w:rPr>
          <w:rFonts w:hint="eastAsia"/>
        </w:rPr>
      </w:pPr>
    </w:p>
    <w:tbl>
      <w:tblPr>
        <w:tblW w:w="11100" w:type="dxa"/>
        <w:tblCellSpacing w:w="0" w:type="dxa"/>
        <w:tblInd w:w="0" w:type="dxa"/>
        <w:shd w:val="clear" w:color="auto" w:fill="FFFFFF"/>
        <w:tblLayout w:type="autofit"/>
        <w:tblCellMar>
          <w:top w:w="0" w:type="dxa"/>
          <w:left w:w="0" w:type="dxa"/>
          <w:bottom w:w="0" w:type="dxa"/>
          <w:right w:w="0" w:type="dxa"/>
        </w:tblCellMar>
      </w:tblPr>
      <w:tblGrid>
        <w:gridCol w:w="11100"/>
      </w:tblGrid>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11100" w:type="dxa"/>
              <w:jc w:val="center"/>
              <w:tblCellSpacing w:w="15" w:type="dxa"/>
              <w:shd w:val="clear"/>
              <w:tblLayout w:type="autofit"/>
              <w:tblCellMar>
                <w:top w:w="0" w:type="dxa"/>
                <w:left w:w="0" w:type="dxa"/>
                <w:bottom w:w="0" w:type="dxa"/>
                <w:right w:w="0" w:type="dxa"/>
              </w:tblCellMar>
            </w:tblPr>
            <w:tblGrid>
              <w:gridCol w:w="3227"/>
              <w:gridCol w:w="1013"/>
              <w:gridCol w:w="1434"/>
              <w:gridCol w:w="2526"/>
              <w:gridCol w:w="2900"/>
            </w:tblGrid>
            <w:tr>
              <w:tblPrEx>
                <w:shd w:val="clear"/>
                <w:tblCellMar>
                  <w:top w:w="0" w:type="dxa"/>
                  <w:left w:w="0" w:type="dxa"/>
                  <w:bottom w:w="0" w:type="dxa"/>
                  <w:right w:w="0" w:type="dxa"/>
                </w:tblCellMar>
              </w:tblPrEx>
              <w:trPr>
                <w:trHeight w:val="450" w:hRule="atLeast"/>
                <w:tblCellSpacing w:w="15" w:type="dxa"/>
                <w:jc w:val="center"/>
              </w:trPr>
              <w:tc>
                <w:tcPr>
                  <w:tcW w:w="0" w:type="auto"/>
                  <w:gridSpan w:val="5"/>
                  <w:shd w:val="clear" w:color="auto" w:fill="DEF1FB"/>
                  <w:tcMar>
                    <w:left w:w="150" w:type="dxa"/>
                  </w:tcMar>
                  <w:vAlign w:val="center"/>
                </w:tcPr>
                <w:p>
                  <w:pPr>
                    <w:keepNext w:val="0"/>
                    <w:keepLines w:val="0"/>
                    <w:widowControl/>
                    <w:suppressLineNumbers w:val="0"/>
                    <w:shd w:val="clear" w:fill="DEF1FB"/>
                    <w:spacing w:line="330" w:lineRule="atLeast"/>
                    <w:jc w:val="left"/>
                    <w:rPr>
                      <w:rFonts w:hint="eastAsia" w:ascii="宋体" w:hAnsi="宋体" w:eastAsia="宋体" w:cs="宋体"/>
                      <w:b/>
                      <w:i w:val="0"/>
                      <w:color w:val="666666"/>
                      <w:sz w:val="18"/>
                      <w:szCs w:val="18"/>
                      <w:u w:val="none"/>
                    </w:rPr>
                  </w:pPr>
                  <w:r>
                    <w:rPr>
                      <w:rFonts w:hint="eastAsia" w:ascii="宋体" w:hAnsi="宋体" w:eastAsia="宋体" w:cs="宋体"/>
                      <w:b/>
                      <w:i w:val="0"/>
                      <w:color w:val="666666"/>
                      <w:kern w:val="0"/>
                      <w:sz w:val="18"/>
                      <w:szCs w:val="18"/>
                      <w:u w:val="none"/>
                      <w:bdr w:val="none" w:color="auto" w:sz="0" w:space="0"/>
                      <w:lang w:val="en-US" w:eastAsia="zh-CN" w:bidi="ar"/>
                    </w:rPr>
                    <w:t>学科专业名称：动力工程及工程热物理</w:t>
                  </w:r>
                  <w:r>
                    <w:rPr>
                      <w:rFonts w:hint="eastAsia" w:ascii="宋体" w:hAnsi="宋体" w:eastAsia="宋体" w:cs="宋体"/>
                      <w:b/>
                      <w:i w:val="0"/>
                      <w:color w:val="003399"/>
                      <w:kern w:val="0"/>
                      <w:sz w:val="18"/>
                      <w:szCs w:val="18"/>
                      <w:u w:val="none"/>
                      <w:bdr w:val="none" w:color="auto" w:sz="0" w:space="0"/>
                      <w:lang w:val="en-US" w:eastAsia="zh-CN" w:bidi="ar"/>
                    </w:rPr>
                    <w:t>（专业代码</w:t>
                  </w:r>
                  <w:r>
                    <w:rPr>
                      <w:rStyle w:val="4"/>
                      <w:rFonts w:hint="eastAsia" w:ascii="宋体" w:hAnsi="宋体" w:eastAsia="宋体" w:cs="宋体"/>
                      <w:i w:val="0"/>
                      <w:color w:val="003399"/>
                      <w:kern w:val="0"/>
                      <w:sz w:val="18"/>
                      <w:szCs w:val="18"/>
                      <w:u w:val="none"/>
                      <w:bdr w:val="none" w:color="auto" w:sz="0" w:space="0"/>
                      <w:lang w:val="en-US" w:eastAsia="zh-CN" w:bidi="ar"/>
                    </w:rPr>
                    <w:t>080700）</w:t>
                  </w:r>
                </w:p>
              </w:tc>
            </w:tr>
            <w:tr>
              <w:tblPrEx>
                <w:shd w:val="clear"/>
                <w:tblCellMar>
                  <w:top w:w="0" w:type="dxa"/>
                  <w:left w:w="0" w:type="dxa"/>
                  <w:bottom w:w="0" w:type="dxa"/>
                  <w:right w:w="0" w:type="dxa"/>
                </w:tblCellMar>
              </w:tblPrEx>
              <w:trPr>
                <w:trHeight w:val="30" w:hRule="atLeast"/>
                <w:tblCellSpacing w:w="15" w:type="dxa"/>
                <w:jc w:val="center"/>
              </w:trPr>
              <w:tc>
                <w:tcPr>
                  <w:tcW w:w="3060" w:type="dxa"/>
                  <w:shd w:val="clear"/>
                  <w:vAlign w:val="center"/>
                </w:tcPr>
                <w:p>
                  <w:pPr>
                    <w:rPr>
                      <w:rFonts w:hint="eastAsia" w:ascii="宋体"/>
                      <w:sz w:val="24"/>
                      <w:szCs w:val="24"/>
                    </w:rPr>
                  </w:pPr>
                </w:p>
              </w:tc>
              <w:tc>
                <w:tcPr>
                  <w:tcW w:w="945" w:type="dxa"/>
                  <w:shd w:val="clear"/>
                  <w:vAlign w:val="center"/>
                </w:tcPr>
                <w:p>
                  <w:pPr>
                    <w:rPr>
                      <w:rFonts w:hint="eastAsia" w:ascii="宋体"/>
                      <w:sz w:val="24"/>
                      <w:szCs w:val="24"/>
                    </w:rPr>
                  </w:pPr>
                </w:p>
              </w:tc>
              <w:tc>
                <w:tcPr>
                  <w:tcW w:w="1350" w:type="dxa"/>
                  <w:shd w:val="clear"/>
                  <w:vAlign w:val="center"/>
                </w:tcPr>
                <w:p>
                  <w:pPr>
                    <w:rPr>
                      <w:rFonts w:hint="eastAsia" w:ascii="宋体"/>
                      <w:sz w:val="24"/>
                      <w:szCs w:val="24"/>
                    </w:rPr>
                  </w:pPr>
                </w:p>
              </w:tc>
              <w:tc>
                <w:tcPr>
                  <w:tcW w:w="2400" w:type="dxa"/>
                  <w:shd w:val="clear"/>
                  <w:vAlign w:val="center"/>
                </w:tcPr>
                <w:p>
                  <w:pPr>
                    <w:rPr>
                      <w:rFonts w:hint="eastAsia" w:ascii="宋体"/>
                      <w:sz w:val="24"/>
                      <w:szCs w:val="24"/>
                    </w:rPr>
                  </w:pPr>
                </w:p>
              </w:tc>
              <w:tc>
                <w:tcPr>
                  <w:tcW w:w="2745" w:type="dxa"/>
                  <w:shd w:val="clear"/>
                  <w:vAlign w:val="center"/>
                </w:tcPr>
                <w:p>
                  <w:pPr>
                    <w:rPr>
                      <w:rFonts w:hint="eastAsia" w:ascii="宋体"/>
                      <w:sz w:val="24"/>
                      <w:szCs w:val="24"/>
                    </w:rPr>
                  </w:pPr>
                </w:p>
              </w:tc>
            </w:tr>
          </w:tbl>
          <w:p>
            <w:pPr>
              <w:rPr>
                <w:rFonts w:ascii="微软雅黑" w:hAnsi="微软雅黑" w:eastAsia="微软雅黑" w:cs="微软雅黑"/>
                <w:i w:val="0"/>
                <w:caps w:val="0"/>
                <w:color w:val="000000"/>
                <w:spacing w:val="0"/>
                <w:sz w:val="27"/>
                <w:szCs w:val="27"/>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tcMar>
              <w:top w:w="225" w:type="dxa"/>
              <w:left w:w="75" w:type="dxa"/>
              <w:bottom w:w="225" w:type="dxa"/>
              <w:right w:w="75" w:type="dxa"/>
            </w:tcMar>
            <w:vAlign w:val="center"/>
          </w:tcPr>
          <w:p>
            <w:pPr>
              <w:keepNext w:val="0"/>
              <w:keepLines w:val="0"/>
              <w:widowControl/>
              <w:suppressLineNumbers w:val="0"/>
              <w:spacing w:line="330" w:lineRule="atLeast"/>
              <w:ind w:left="0" w:firstLine="0"/>
              <w:jc w:val="left"/>
              <w:rPr>
                <w:rFonts w:hint="eastAsia" w:ascii="宋体" w:hAnsi="宋体" w:eastAsia="宋体" w:cs="宋体"/>
                <w:i w:val="0"/>
                <w:caps w:val="0"/>
                <w:color w:val="575757"/>
                <w:spacing w:val="0"/>
                <w:sz w:val="18"/>
                <w:szCs w:val="18"/>
                <w:u w:val="none"/>
              </w:rPr>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一、报考说明</w:t>
            </w:r>
            <w:r>
              <w:rPr>
                <w:rFonts w:hint="eastAsia" w:ascii="宋体" w:hAnsi="宋体" w:eastAsia="宋体" w:cs="宋体"/>
                <w:i w:val="0"/>
                <w:caps w:val="0"/>
                <w:color w:val="575757"/>
                <w:spacing w:val="0"/>
                <w:kern w:val="0"/>
                <w:sz w:val="18"/>
                <w:szCs w:val="18"/>
                <w:u w:val="none"/>
                <w:bdr w:val="none" w:color="auto" w:sz="0" w:space="0"/>
                <w:lang w:val="en-US" w:eastAsia="zh-CN" w:bidi="ar"/>
              </w:rPr>
              <w:t>：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本专业招收动力工程、工程热物理、热能工程、制冷和低温工程、机械工程等相关方向教育背景的具有学士学位（或相当学历）的优秀本科毕业生。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二、专业介绍</w:t>
            </w:r>
            <w:r>
              <w:rPr>
                <w:rFonts w:hint="eastAsia" w:ascii="宋体" w:hAnsi="宋体" w:eastAsia="宋体" w:cs="宋体"/>
                <w:i w:val="0"/>
                <w:caps w:val="0"/>
                <w:color w:val="575757"/>
                <w:spacing w:val="0"/>
                <w:kern w:val="0"/>
                <w:sz w:val="18"/>
                <w:szCs w:val="18"/>
                <w:u w:val="none"/>
                <w:bdr w:val="none" w:color="auto" w:sz="0" w:space="0"/>
                <w:lang w:val="en-US" w:eastAsia="zh-CN" w:bidi="ar"/>
              </w:rPr>
              <w:t>：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热科学和能源工程系（013）前身是工程热物理系，创办于1958年，为国内大学中同类专业创办最早者。首任系主任为我国著名科学家、中科院院士吴仲华先生。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目前，我系动力工程及工程热物理学科为国家一级学科博士学位授予点，设有工程热物理（080701）、热能工程（080702）、制冷及低温工程（080705）三个博士点（含硕士点），并设有工程热物理学科博士后流动站。近年来，我系通过和国内外科研机构的广泛合作，在太阳能、生物质能、工业节能、建筑节能、稠油热采、航空航天动力与热控、材料热物性测量、微纳传热、新型热力循环、交通流、湍流燃烧、等离子体应用以及生物传热等领域开展研究工作，并形成了特色鲜明的研究方向。现承担国家重点研发计划、自然科学基金和中科院知识创新工程等多项重要项目的研究任务，取得了丰硕的研究成果。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工程热物理（080701）学科成立于中国科大建校之初，即1958年。1981年成为全国首批博士点，并于1994年成为中国科学院重点学科，是中国科学院博士生重点培养基地，设有博士后流动站。近年来出版专著和教材13部, 获国家科技进步奖及省部级科技奖十余项。本学科围绕节能减排技术这一主题，在湍流燃烧与污染控制、复杂流动与传热和注蒸汽热采稠油等研究领域，开展了大量的研究工作，做出了在国内外有重要影响的工作。本学科为科研机构、高等学校、公司与企业培养大量具有坚实理论基础和实验技能，并能解决实际问题的教学、科研以及应用型人才。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热能工程（080702）学科自2003年成为博士点以来，面对国家和社会的重大能源需求，形成了一些极具特色的研究方向，如太阳能热利用、生物质能、建筑节能等方向。目前已取得了一系列重要的研究成果，拥有多项国家发明和实用新型专利，在国内外顶级刊物上发表了多篇具有重要学术价值的科研论文，并承担大量国家级科研任务，在国内外相关领域具有较高的学术地位和影响力。本学科为科研机构、高等院校以及大型国有企业、外资企业等培养了大量的掌握坚实理论知识，并能解决实际问题的有用人才。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制冷及低温工程（080705）自2003年成为博士点以来，该研究方向发展迅速，在科学研究、人才培养及技术开发方面正越来越发挥重要作用。该学科在传统的制冷及低温技术研究的基础上，还注重学科的交叉，形成了一些极具特色的研究方向。在制冷工质的热物性测定和推算、制冷与热泵技术、相变蓄冷储热技术、建筑节能、制冷设备与系统的实验与性能测试等方面开展了研究。承担包括国家自然科学基金面上基金、重点基金，以及科技部863项目和科技支撑计划等多项科研项目，获授权发明专利10余项，获国家科学技术进步二等奖1项。迄今为止，已经在低温及制冷工程学科领域培养了多名博士。本学科毕业生主要去向是国内外科研单位和高等院校以及大型国企、外企、高新企业和政府相关部门。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三、研究方向及初试科目</w:t>
            </w:r>
            <w:r>
              <w:rPr>
                <w:rFonts w:hint="eastAsia" w:ascii="宋体" w:hAnsi="宋体" w:eastAsia="宋体" w:cs="宋体"/>
                <w:i w:val="0"/>
                <w:caps w:val="0"/>
                <w:color w:val="575757"/>
                <w:spacing w:val="0"/>
                <w:kern w:val="0"/>
                <w:sz w:val="18"/>
                <w:szCs w:val="18"/>
                <w:u w:val="none"/>
                <w:bdr w:val="none" w:color="auto" w:sz="0" w:space="0"/>
                <w:lang w:val="en-US" w:eastAsia="zh-CN" w:bidi="ar"/>
              </w:rPr>
              <w:t>：</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2996"/>
              <w:gridCol w:w="7954"/>
            </w:tblGrid>
            <w:tr>
              <w:tblPrEx>
                <w:shd w:val="clear" w:color="auto" w:fill="CCCCCC"/>
                <w:tblCellMar>
                  <w:top w:w="0" w:type="dxa"/>
                  <w:left w:w="0" w:type="dxa"/>
                  <w:bottom w:w="0" w:type="dxa"/>
                  <w:right w:w="0" w:type="dxa"/>
                </w:tblCellMar>
              </w:tblPrEx>
              <w:trPr>
                <w:tblCellSpacing w:w="7" w:type="dxa"/>
              </w:trPr>
              <w:tc>
                <w:tcPr>
                  <w:tcW w:w="135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研究方向</w:t>
                  </w:r>
                </w:p>
              </w:tc>
              <w:tc>
                <w:tcPr>
                  <w:tcW w:w="360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初试科目</w:t>
                  </w:r>
                </w:p>
              </w:tc>
            </w:tr>
            <w:tr>
              <w:tblPrEx>
                <w:shd w:val="clear" w:color="auto" w:fill="CCCCCC"/>
                <w:tblCellMar>
                  <w:top w:w="0" w:type="dxa"/>
                  <w:left w:w="0" w:type="dxa"/>
                  <w:bottom w:w="0" w:type="dxa"/>
                  <w:right w:w="0" w:type="dxa"/>
                </w:tblCellMar>
              </w:tblPrEx>
              <w:trPr>
                <w:tblCellSpacing w:w="7" w:type="dxa"/>
              </w:trPr>
              <w:tc>
                <w:tcPr>
                  <w:tcW w:w="13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1、流动和燃烧的数值模拟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2、多孔介质流动、稠油热采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3、强化传热与冷却技术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4、太阳能利用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5、复杂系统动力学（交通流）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6、微纳尺度传热、流动与燃烧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7、生物质能源技术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8、等离子体技术及应用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9、建筑节能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10、低温生物医学热物理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11、空调、制冷和热泵技术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12、航空航天热控与动力</w:t>
                  </w:r>
                </w:p>
              </w:tc>
              <w:tc>
                <w:tcPr>
                  <w:tcW w:w="36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101 思想政治理论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 英语一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301 数学一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833 热工基础</w:t>
                  </w:r>
                </w:p>
              </w:tc>
            </w:tr>
          </w:tbl>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四、复试形式</w:t>
            </w:r>
            <w:r>
              <w:rPr>
                <w:rFonts w:hint="eastAsia" w:ascii="宋体" w:hAnsi="宋体" w:eastAsia="宋体" w:cs="宋体"/>
                <w:i w:val="0"/>
                <w:caps w:val="0"/>
                <w:color w:val="575757"/>
                <w:spacing w:val="0"/>
                <w:kern w:val="0"/>
                <w:sz w:val="18"/>
                <w:szCs w:val="18"/>
                <w:u w:val="none"/>
                <w:bdr w:val="none" w:color="auto" w:sz="0" w:space="0"/>
                <w:lang w:val="en-US" w:eastAsia="zh-CN" w:bidi="ar"/>
              </w:rPr>
              <w:t>：笔试+面试。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五、复试内容</w:t>
            </w:r>
            <w:r>
              <w:rPr>
                <w:rFonts w:hint="eastAsia" w:ascii="宋体" w:hAnsi="宋体" w:eastAsia="宋体" w:cs="宋体"/>
                <w:i w:val="0"/>
                <w:caps w:val="0"/>
                <w:color w:val="575757"/>
                <w:spacing w:val="0"/>
                <w:kern w:val="0"/>
                <w:sz w:val="18"/>
                <w:szCs w:val="18"/>
                <w:u w:val="none"/>
                <w:bdr w:val="none" w:color="auto" w:sz="0" w:space="0"/>
                <w:lang w:val="en-US" w:eastAsia="zh-CN" w:bidi="ar"/>
              </w:rPr>
              <w:t>：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面试：总分150分，含英语听说能力考核（满分50分）、专业基础课及专业课专业知识问答（满分100分）。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笔试：总分100分，含专业英文翻译50分，专业知识简答50分（含流体力学、传热学、工程热力学）。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六、复试成绩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：满分100分。面试满分150分、笔试满分100分，复试成绩=（面试成绩+笔试成绩）÷2.5。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七、最终成绩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：满分100分。复试成绩占比1/3，即最终成绩=（初试成绩÷5×2+复试成绩）÷3。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八、录取</w:t>
            </w:r>
            <w:r>
              <w:rPr>
                <w:rFonts w:hint="eastAsia" w:ascii="宋体" w:hAnsi="宋体" w:eastAsia="宋体" w:cs="宋体"/>
                <w:i w:val="0"/>
                <w:caps w:val="0"/>
                <w:color w:val="575757"/>
                <w:spacing w:val="0"/>
                <w:kern w:val="0"/>
                <w:sz w:val="18"/>
                <w:szCs w:val="18"/>
                <w:u w:val="none"/>
                <w:bdr w:val="none" w:color="auto" w:sz="0" w:space="0"/>
                <w:lang w:val="en-US" w:eastAsia="zh-CN" w:bidi="ar"/>
              </w:rPr>
              <w:t>：按最终成绩由高到低排序，提出拟录取名单报批。为保证招生质量，报批人数可小于招生计划。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九、调剂</w:t>
            </w:r>
            <w:r>
              <w:rPr>
                <w:rFonts w:hint="eastAsia" w:ascii="宋体" w:hAnsi="宋体" w:eastAsia="宋体" w:cs="宋体"/>
                <w:i w:val="0"/>
                <w:caps w:val="0"/>
                <w:color w:val="575757"/>
                <w:spacing w:val="0"/>
                <w:kern w:val="0"/>
                <w:sz w:val="18"/>
                <w:szCs w:val="18"/>
                <w:u w:val="none"/>
                <w:bdr w:val="none" w:color="auto" w:sz="0" w:space="0"/>
                <w:lang w:val="en-US" w:eastAsia="zh-CN" w:bidi="ar"/>
              </w:rPr>
              <w:t>：本专业在生源不足的情况下接受调剂。调剂信息将于复试阶段在中国科大研究生招生在线网站（http://yz.ustc.edu.cn）发布。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十、学费标准</w:t>
            </w:r>
            <w:r>
              <w:rPr>
                <w:rFonts w:hint="eastAsia" w:ascii="宋体" w:hAnsi="宋体" w:eastAsia="宋体" w:cs="宋体"/>
                <w:i w:val="0"/>
                <w:caps w:val="0"/>
                <w:color w:val="575757"/>
                <w:spacing w:val="0"/>
                <w:kern w:val="0"/>
                <w:sz w:val="18"/>
                <w:szCs w:val="18"/>
                <w:u w:val="none"/>
                <w:bdr w:val="none" w:color="auto" w:sz="0" w:space="0"/>
                <w:lang w:val="en-US" w:eastAsia="zh-CN" w:bidi="ar"/>
              </w:rPr>
              <w:t>：8000元/学年。</w:t>
            </w:r>
          </w:p>
        </w:tc>
      </w:tr>
    </w:tbl>
    <w:p>
      <w:pPr>
        <w:rPr>
          <w:rFonts w:hint="eastAsia"/>
        </w:rPr>
      </w:pPr>
    </w:p>
    <w:p>
      <w:pPr>
        <w:rPr>
          <w:rFonts w:hint="eastAsia"/>
        </w:rPr>
      </w:pPr>
    </w:p>
    <w:p>
      <w:pPr>
        <w:rPr>
          <w:rFonts w:hint="eastAsia"/>
        </w:rPr>
      </w:pPr>
    </w:p>
    <w:tbl>
      <w:tblPr>
        <w:tblW w:w="11100" w:type="dxa"/>
        <w:tblCellSpacing w:w="0" w:type="dxa"/>
        <w:tblInd w:w="0" w:type="dxa"/>
        <w:shd w:val="clear" w:color="auto" w:fill="FFFFFF"/>
        <w:tblLayout w:type="autofit"/>
        <w:tblCellMar>
          <w:top w:w="0" w:type="dxa"/>
          <w:left w:w="0" w:type="dxa"/>
          <w:bottom w:w="0" w:type="dxa"/>
          <w:right w:w="0" w:type="dxa"/>
        </w:tblCellMar>
      </w:tblPr>
      <w:tblGrid>
        <w:gridCol w:w="11100"/>
      </w:tblGrid>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11100" w:type="dxa"/>
              <w:jc w:val="center"/>
              <w:tblCellSpacing w:w="15" w:type="dxa"/>
              <w:shd w:val="clear"/>
              <w:tblLayout w:type="autofit"/>
              <w:tblCellMar>
                <w:top w:w="0" w:type="dxa"/>
                <w:left w:w="0" w:type="dxa"/>
                <w:bottom w:w="0" w:type="dxa"/>
                <w:right w:w="0" w:type="dxa"/>
              </w:tblCellMar>
            </w:tblPr>
            <w:tblGrid>
              <w:gridCol w:w="3227"/>
              <w:gridCol w:w="1013"/>
              <w:gridCol w:w="1434"/>
              <w:gridCol w:w="2526"/>
              <w:gridCol w:w="2900"/>
            </w:tblGrid>
            <w:tr>
              <w:tblPrEx>
                <w:shd w:val="clear"/>
                <w:tblCellMar>
                  <w:top w:w="0" w:type="dxa"/>
                  <w:left w:w="0" w:type="dxa"/>
                  <w:bottom w:w="0" w:type="dxa"/>
                  <w:right w:w="0" w:type="dxa"/>
                </w:tblCellMar>
              </w:tblPrEx>
              <w:trPr>
                <w:trHeight w:val="450" w:hRule="atLeast"/>
                <w:tblCellSpacing w:w="15" w:type="dxa"/>
                <w:jc w:val="center"/>
              </w:trPr>
              <w:tc>
                <w:tcPr>
                  <w:tcW w:w="0" w:type="auto"/>
                  <w:gridSpan w:val="5"/>
                  <w:shd w:val="clear" w:color="auto" w:fill="DEF1FB"/>
                  <w:tcMar>
                    <w:left w:w="150" w:type="dxa"/>
                  </w:tcMar>
                  <w:vAlign w:val="center"/>
                </w:tcPr>
                <w:p>
                  <w:pPr>
                    <w:keepNext w:val="0"/>
                    <w:keepLines w:val="0"/>
                    <w:widowControl/>
                    <w:suppressLineNumbers w:val="0"/>
                    <w:shd w:val="clear" w:fill="DEF1FB"/>
                    <w:spacing w:line="330" w:lineRule="atLeast"/>
                    <w:jc w:val="left"/>
                    <w:rPr>
                      <w:rFonts w:hint="eastAsia" w:ascii="宋体" w:hAnsi="宋体" w:eastAsia="宋体" w:cs="宋体"/>
                      <w:b/>
                      <w:i w:val="0"/>
                      <w:color w:val="666666"/>
                      <w:sz w:val="18"/>
                      <w:szCs w:val="18"/>
                      <w:u w:val="none"/>
                    </w:rPr>
                  </w:pPr>
                  <w:r>
                    <w:rPr>
                      <w:rFonts w:hint="eastAsia" w:ascii="宋体" w:hAnsi="宋体" w:eastAsia="宋体" w:cs="宋体"/>
                      <w:b/>
                      <w:i w:val="0"/>
                      <w:color w:val="666666"/>
                      <w:kern w:val="0"/>
                      <w:sz w:val="18"/>
                      <w:szCs w:val="18"/>
                      <w:u w:val="none"/>
                      <w:bdr w:val="none" w:color="auto" w:sz="0" w:space="0"/>
                      <w:lang w:val="en-US" w:eastAsia="zh-CN" w:bidi="ar"/>
                    </w:rPr>
                    <w:t>学科专业名称：机械</w:t>
                  </w:r>
                  <w:r>
                    <w:rPr>
                      <w:rFonts w:hint="eastAsia" w:ascii="宋体" w:hAnsi="宋体" w:eastAsia="宋体" w:cs="宋体"/>
                      <w:b/>
                      <w:i w:val="0"/>
                      <w:color w:val="003399"/>
                      <w:kern w:val="0"/>
                      <w:sz w:val="18"/>
                      <w:szCs w:val="18"/>
                      <w:u w:val="none"/>
                      <w:bdr w:val="none" w:color="auto" w:sz="0" w:space="0"/>
                      <w:lang w:val="en-US" w:eastAsia="zh-CN" w:bidi="ar"/>
                    </w:rPr>
                    <w:t>（专业代码</w:t>
                  </w:r>
                  <w:r>
                    <w:rPr>
                      <w:rStyle w:val="4"/>
                      <w:rFonts w:hint="eastAsia" w:ascii="宋体" w:hAnsi="宋体" w:eastAsia="宋体" w:cs="宋体"/>
                      <w:i w:val="0"/>
                      <w:color w:val="003399"/>
                      <w:kern w:val="0"/>
                      <w:sz w:val="18"/>
                      <w:szCs w:val="18"/>
                      <w:u w:val="none"/>
                      <w:bdr w:val="none" w:color="auto" w:sz="0" w:space="0"/>
                      <w:lang w:val="en-US" w:eastAsia="zh-CN" w:bidi="ar"/>
                    </w:rPr>
                    <w:t>085500）</w:t>
                  </w:r>
                </w:p>
              </w:tc>
            </w:tr>
            <w:tr>
              <w:tblPrEx>
                <w:shd w:val="clear"/>
                <w:tblCellMar>
                  <w:top w:w="0" w:type="dxa"/>
                  <w:left w:w="0" w:type="dxa"/>
                  <w:bottom w:w="0" w:type="dxa"/>
                  <w:right w:w="0" w:type="dxa"/>
                </w:tblCellMar>
              </w:tblPrEx>
              <w:trPr>
                <w:trHeight w:val="30" w:hRule="atLeast"/>
                <w:tblCellSpacing w:w="15" w:type="dxa"/>
                <w:jc w:val="center"/>
              </w:trPr>
              <w:tc>
                <w:tcPr>
                  <w:tcW w:w="3060" w:type="dxa"/>
                  <w:shd w:val="clear"/>
                  <w:vAlign w:val="center"/>
                </w:tcPr>
                <w:p>
                  <w:pPr>
                    <w:rPr>
                      <w:rFonts w:hint="eastAsia" w:ascii="宋体"/>
                      <w:sz w:val="24"/>
                      <w:szCs w:val="24"/>
                    </w:rPr>
                  </w:pPr>
                </w:p>
              </w:tc>
              <w:tc>
                <w:tcPr>
                  <w:tcW w:w="945" w:type="dxa"/>
                  <w:shd w:val="clear"/>
                  <w:vAlign w:val="center"/>
                </w:tcPr>
                <w:p>
                  <w:pPr>
                    <w:rPr>
                      <w:rFonts w:hint="eastAsia" w:ascii="宋体"/>
                      <w:sz w:val="24"/>
                      <w:szCs w:val="24"/>
                    </w:rPr>
                  </w:pPr>
                </w:p>
              </w:tc>
              <w:tc>
                <w:tcPr>
                  <w:tcW w:w="1350" w:type="dxa"/>
                  <w:shd w:val="clear"/>
                  <w:vAlign w:val="center"/>
                </w:tcPr>
                <w:p>
                  <w:pPr>
                    <w:rPr>
                      <w:rFonts w:hint="eastAsia" w:ascii="宋体"/>
                      <w:sz w:val="24"/>
                      <w:szCs w:val="24"/>
                    </w:rPr>
                  </w:pPr>
                </w:p>
              </w:tc>
              <w:tc>
                <w:tcPr>
                  <w:tcW w:w="2400" w:type="dxa"/>
                  <w:shd w:val="clear"/>
                  <w:vAlign w:val="center"/>
                </w:tcPr>
                <w:p>
                  <w:pPr>
                    <w:rPr>
                      <w:rFonts w:hint="eastAsia" w:ascii="宋体"/>
                      <w:sz w:val="24"/>
                      <w:szCs w:val="24"/>
                    </w:rPr>
                  </w:pPr>
                </w:p>
              </w:tc>
              <w:tc>
                <w:tcPr>
                  <w:tcW w:w="2745" w:type="dxa"/>
                  <w:shd w:val="clear"/>
                  <w:vAlign w:val="center"/>
                </w:tcPr>
                <w:p>
                  <w:pPr>
                    <w:rPr>
                      <w:rFonts w:hint="eastAsia" w:ascii="宋体"/>
                      <w:sz w:val="24"/>
                      <w:szCs w:val="24"/>
                    </w:rPr>
                  </w:pPr>
                </w:p>
              </w:tc>
            </w:tr>
          </w:tbl>
          <w:p>
            <w:pPr>
              <w:rPr>
                <w:rFonts w:ascii="微软雅黑" w:hAnsi="微软雅黑" w:eastAsia="微软雅黑" w:cs="微软雅黑"/>
                <w:i w:val="0"/>
                <w:caps w:val="0"/>
                <w:color w:val="000000"/>
                <w:spacing w:val="0"/>
                <w:sz w:val="27"/>
                <w:szCs w:val="27"/>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tcMar>
              <w:top w:w="225" w:type="dxa"/>
              <w:left w:w="75" w:type="dxa"/>
              <w:bottom w:w="225" w:type="dxa"/>
              <w:right w:w="75" w:type="dxa"/>
            </w:tcMar>
            <w:vAlign w:val="center"/>
          </w:tcPr>
          <w:p>
            <w:pPr>
              <w:keepNext w:val="0"/>
              <w:keepLines w:val="0"/>
              <w:widowControl/>
              <w:suppressLineNumbers w:val="0"/>
              <w:spacing w:line="330" w:lineRule="atLeast"/>
              <w:ind w:left="0" w:firstLine="0"/>
              <w:jc w:val="left"/>
              <w:rPr>
                <w:rFonts w:hint="eastAsia" w:ascii="宋体" w:hAnsi="宋体" w:eastAsia="宋体" w:cs="宋体"/>
                <w:i w:val="0"/>
                <w:caps w:val="0"/>
                <w:color w:val="575757"/>
                <w:spacing w:val="0"/>
                <w:sz w:val="18"/>
                <w:szCs w:val="18"/>
                <w:u w:val="none"/>
              </w:rPr>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一、报考说明</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推免为主，少量统考。</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二、专业介绍</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机械工程是为国民经济建设和社会发展提供各类机械装备和生产制造技术以创造物质财富和提高社会文明水准的重要工程领域，是与人类社会活动关系十分密切、应用非常广泛的工程领域。它是一个传统的工程领域，自人类有史以来，就为生产活动所关注。第一次工业革命、第二次工业革命乃至当前的信息革命，无不直接或间接地同机械工程的发展有密切关系；它也是一个发展迅速的工程领域。随着电子技术、自动化技术、计算机及软件技术、材料科学的发展和渗透，充实和丰富了本领域的基础，拓宽和发展了本领域的研究范畴，并促进机械产品的生产过程向精密化、自动化、智能化、连续化、高效化、集成化方向发展。</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本领域涉及机械设计、制造、试验、使用、维修等基础理论、技术和方法，并与材料工程、动力工程、电气工程、电子与信息工程、控制工程、计算机技术、工业设计工程等工程领域及力学学科密切相关。</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三、研究方向及初试科目</w:t>
            </w:r>
            <w:r>
              <w:rPr>
                <w:rFonts w:hint="eastAsia" w:ascii="宋体" w:hAnsi="宋体" w:eastAsia="宋体" w:cs="宋体"/>
                <w:i w:val="0"/>
                <w:caps w:val="0"/>
                <w:color w:val="575757"/>
                <w:spacing w:val="0"/>
                <w:kern w:val="0"/>
                <w:sz w:val="18"/>
                <w:szCs w:val="18"/>
                <w:u w:val="none"/>
                <w:bdr w:val="none" w:color="auto" w:sz="0" w:space="0"/>
                <w:lang w:val="en-US" w:eastAsia="zh-CN" w:bidi="ar"/>
              </w:rPr>
              <w:t>：</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3437"/>
              <w:gridCol w:w="7513"/>
            </w:tblGrid>
            <w:tr>
              <w:tblPrEx>
                <w:shd w:val="clear" w:color="auto" w:fill="CCCCCC"/>
              </w:tblPrEx>
              <w:trPr>
                <w:tblCellSpacing w:w="7" w:type="dxa"/>
              </w:trPr>
              <w:tc>
                <w:tcPr>
                  <w:tcW w:w="155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研究方向</w:t>
                  </w:r>
                </w:p>
              </w:tc>
              <w:tc>
                <w:tcPr>
                  <w:tcW w:w="340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初试科目</w:t>
                  </w:r>
                </w:p>
              </w:tc>
            </w:tr>
            <w:tr>
              <w:tblPrEx>
                <w:shd w:val="clear" w:color="auto" w:fill="CCCCCC"/>
                <w:tblCellMar>
                  <w:top w:w="0" w:type="dxa"/>
                  <w:left w:w="0" w:type="dxa"/>
                  <w:bottom w:w="0" w:type="dxa"/>
                  <w:right w:w="0" w:type="dxa"/>
                </w:tblCellMar>
              </w:tblPrEx>
              <w:trPr>
                <w:tblCellSpacing w:w="7" w:type="dxa"/>
              </w:trPr>
              <w:tc>
                <w:tcPr>
                  <w:tcW w:w="15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1、机械工程</w:t>
                  </w:r>
                </w:p>
              </w:tc>
              <w:tc>
                <w:tcPr>
                  <w:tcW w:w="3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101 思想政治理论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204 英语二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302 数学二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814 工程光学或821机械设计</w:t>
                  </w:r>
                </w:p>
              </w:tc>
            </w:tr>
          </w:tbl>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四、复试形式</w:t>
            </w:r>
            <w:r>
              <w:rPr>
                <w:rFonts w:hint="eastAsia" w:ascii="宋体" w:hAnsi="宋体" w:eastAsia="宋体" w:cs="宋体"/>
                <w:i w:val="0"/>
                <w:caps w:val="0"/>
                <w:color w:val="575757"/>
                <w:spacing w:val="0"/>
                <w:kern w:val="0"/>
                <w:sz w:val="18"/>
                <w:szCs w:val="18"/>
                <w:u w:val="none"/>
                <w:bdr w:val="none" w:color="auto" w:sz="0" w:space="0"/>
                <w:lang w:val="en-US" w:eastAsia="zh-CN" w:bidi="ar"/>
              </w:rPr>
              <w:t>：笔试+面试。</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五、复试内容</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1、复试（笔试）试题覆盖范围</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5633"/>
              <w:gridCol w:w="3425"/>
              <w:gridCol w:w="1892"/>
            </w:tblGrid>
            <w:tr>
              <w:tblPrEx>
                <w:shd w:val="clear" w:color="auto" w:fill="CCCCCC"/>
                <w:tblCellMar>
                  <w:top w:w="0" w:type="dxa"/>
                  <w:left w:w="0" w:type="dxa"/>
                  <w:bottom w:w="0" w:type="dxa"/>
                  <w:right w:w="0" w:type="dxa"/>
                </w:tblCellMar>
              </w:tblPrEx>
              <w:trPr>
                <w:tblCellSpacing w:w="7" w:type="dxa"/>
              </w:trPr>
              <w:tc>
                <w:tcPr>
                  <w:tcW w:w="255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试题复试范围</w:t>
                  </w:r>
                </w:p>
              </w:tc>
              <w:tc>
                <w:tcPr>
                  <w:tcW w:w="155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参考教材</w:t>
                  </w:r>
                </w:p>
              </w:tc>
              <w:tc>
                <w:tcPr>
                  <w:tcW w:w="85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备注</w:t>
                  </w:r>
                </w:p>
              </w:tc>
            </w:tr>
            <w:tr>
              <w:tblPrEx>
                <w:tblCellMar>
                  <w:top w:w="0" w:type="dxa"/>
                  <w:left w:w="0" w:type="dxa"/>
                  <w:bottom w:w="0" w:type="dxa"/>
                  <w:right w:w="0" w:type="dxa"/>
                </w:tblCellMar>
              </w:tblPrEx>
              <w:trPr>
                <w:tblCellSpacing w:w="7" w:type="dxa"/>
              </w:trPr>
              <w:tc>
                <w:tcPr>
                  <w:tcW w:w="25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工程光学（20分）：几何光学成像原理、平面零件成像、光阑和光能计算、光学系统成像质量评价，典型光学系统、光的干涉、衍射、偏振</w:t>
                  </w:r>
                </w:p>
              </w:tc>
              <w:tc>
                <w:tcPr>
                  <w:tcW w:w="15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《应用光学》胡玉禧，中国科大出版社；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《工程光学》郁道银等，机械工业出版社；</w:t>
                  </w:r>
                </w:p>
              </w:tc>
              <w:tc>
                <w:tcPr>
                  <w:tcW w:w="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仅面向初试专业课科目</w:t>
                  </w:r>
                  <w:r>
                    <w:rPr>
                      <w:rStyle w:val="4"/>
                      <w:rFonts w:hint="eastAsia" w:ascii="宋体" w:hAnsi="宋体" w:eastAsia="宋体" w:cs="宋体"/>
                      <w:i w:val="0"/>
                      <w:color w:val="003399"/>
                      <w:kern w:val="0"/>
                      <w:sz w:val="18"/>
                      <w:szCs w:val="18"/>
                      <w:u w:val="none"/>
                      <w:bdr w:val="none" w:color="auto" w:sz="0" w:space="0"/>
                      <w:lang w:val="en-US" w:eastAsia="zh-CN" w:bidi="ar"/>
                    </w:rPr>
                    <w:t>“机械设计”</w:t>
                  </w:r>
                  <w:r>
                    <w:rPr>
                      <w:rFonts w:hint="eastAsia" w:ascii="宋体" w:hAnsi="宋体" w:eastAsia="宋体" w:cs="宋体"/>
                      <w:i w:val="0"/>
                      <w:color w:val="003399"/>
                      <w:kern w:val="0"/>
                      <w:sz w:val="18"/>
                      <w:szCs w:val="18"/>
                      <w:u w:val="none"/>
                      <w:bdr w:val="none" w:color="auto" w:sz="0" w:space="0"/>
                      <w:lang w:val="en-US" w:eastAsia="zh-CN" w:bidi="ar"/>
                    </w:rPr>
                    <w:t>的考生</w:t>
                  </w:r>
                </w:p>
              </w:tc>
            </w:tr>
            <w:tr>
              <w:tblPrEx>
                <w:tblCellMar>
                  <w:top w:w="0" w:type="dxa"/>
                  <w:left w:w="0" w:type="dxa"/>
                  <w:bottom w:w="0" w:type="dxa"/>
                  <w:right w:w="0" w:type="dxa"/>
                </w:tblCellMar>
              </w:tblPrEx>
              <w:trPr>
                <w:tblCellSpacing w:w="7" w:type="dxa"/>
              </w:trPr>
              <w:tc>
                <w:tcPr>
                  <w:tcW w:w="25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机械设计基础（20分）：零件的几何精度，平面机构的结构分析，平面连杆机构，凸轮机构，摩擦轮传动和带传动，齿轮传动，螺旋传动，轴，联轴器、离合器，支承，直线运动导轨，弹性元件。</w:t>
                  </w:r>
                </w:p>
              </w:tc>
              <w:tc>
                <w:tcPr>
                  <w:tcW w:w="15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《精密机械设计》庞振基等，机械工业出版社；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《机械原理》郑文纬高等教育出版社</w:t>
                  </w:r>
                </w:p>
              </w:tc>
              <w:tc>
                <w:tcPr>
                  <w:tcW w:w="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仅面向初试专业课科目</w:t>
                  </w:r>
                  <w:r>
                    <w:rPr>
                      <w:rStyle w:val="4"/>
                      <w:rFonts w:hint="eastAsia" w:ascii="宋体" w:hAnsi="宋体" w:eastAsia="宋体" w:cs="宋体"/>
                      <w:i w:val="0"/>
                      <w:color w:val="003399"/>
                      <w:kern w:val="0"/>
                      <w:sz w:val="18"/>
                      <w:szCs w:val="18"/>
                      <w:u w:val="none"/>
                      <w:bdr w:val="none" w:color="auto" w:sz="0" w:space="0"/>
                      <w:lang w:val="en-US" w:eastAsia="zh-CN" w:bidi="ar"/>
                    </w:rPr>
                    <w:t>“工程光学”</w:t>
                  </w:r>
                  <w:r>
                    <w:rPr>
                      <w:rFonts w:hint="eastAsia" w:ascii="宋体" w:hAnsi="宋体" w:eastAsia="宋体" w:cs="宋体"/>
                      <w:i w:val="0"/>
                      <w:color w:val="003399"/>
                      <w:kern w:val="0"/>
                      <w:sz w:val="18"/>
                      <w:szCs w:val="18"/>
                      <w:u w:val="none"/>
                      <w:bdr w:val="none" w:color="auto" w:sz="0" w:space="0"/>
                      <w:lang w:val="en-US" w:eastAsia="zh-CN" w:bidi="ar"/>
                    </w:rPr>
                    <w:t>的考生</w:t>
                  </w:r>
                </w:p>
              </w:tc>
            </w:tr>
            <w:tr>
              <w:tblPrEx>
                <w:shd w:val="clear" w:color="auto" w:fill="CCCCCC"/>
                <w:tblCellMar>
                  <w:top w:w="0" w:type="dxa"/>
                  <w:left w:w="0" w:type="dxa"/>
                  <w:bottom w:w="0" w:type="dxa"/>
                  <w:right w:w="0" w:type="dxa"/>
                </w:tblCellMar>
              </w:tblPrEx>
              <w:trPr>
                <w:tblCellSpacing w:w="7" w:type="dxa"/>
              </w:trPr>
              <w:tc>
                <w:tcPr>
                  <w:tcW w:w="25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机械制造技术基础（20分）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机械加工质量分析，零件加工方法和制造工艺过程分析；</w:t>
                  </w:r>
                </w:p>
              </w:tc>
              <w:tc>
                <w:tcPr>
                  <w:tcW w:w="15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《机械制造技术基础》张福润，华中科技大学出版社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或《仪器制造技术》曲兴华，机械工业出版社</w:t>
                  </w:r>
                </w:p>
              </w:tc>
              <w:tc>
                <w:tcPr>
                  <w:tcW w:w="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 </w:t>
                  </w:r>
                </w:p>
              </w:tc>
            </w:tr>
            <w:tr>
              <w:tblPrEx>
                <w:tblCellMar>
                  <w:top w:w="0" w:type="dxa"/>
                  <w:left w:w="0" w:type="dxa"/>
                  <w:bottom w:w="0" w:type="dxa"/>
                  <w:right w:w="0" w:type="dxa"/>
                </w:tblCellMar>
              </w:tblPrEx>
              <w:trPr>
                <w:tblCellSpacing w:w="7" w:type="dxa"/>
              </w:trPr>
              <w:tc>
                <w:tcPr>
                  <w:tcW w:w="25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电路基础（20分）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半导体器件及电路基础，基本电路及分析基础，运算放大器电路，组合逻辑电路与触发器，振荡器</w:t>
                  </w:r>
                </w:p>
              </w:tc>
              <w:tc>
                <w:tcPr>
                  <w:tcW w:w="15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《模拟电子线路》、《数字电路与微型计算机原理》的数字电路部分，刘同怀等，中国科学技术大学出版社</w:t>
                  </w:r>
                </w:p>
              </w:tc>
              <w:tc>
                <w:tcPr>
                  <w:tcW w:w="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 </w:t>
                  </w:r>
                </w:p>
              </w:tc>
            </w:tr>
            <w:tr>
              <w:tblPrEx>
                <w:tblCellMar>
                  <w:top w:w="0" w:type="dxa"/>
                  <w:left w:w="0" w:type="dxa"/>
                  <w:bottom w:w="0" w:type="dxa"/>
                  <w:right w:w="0" w:type="dxa"/>
                </w:tblCellMar>
              </w:tblPrEx>
              <w:trPr>
                <w:tblCellSpacing w:w="7" w:type="dxa"/>
              </w:trPr>
              <w:tc>
                <w:tcPr>
                  <w:tcW w:w="25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测试技术（20分）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常用传感器的原理及应用，信号调理，相关分析原理，反馈式传感器原理，常用量的电测方法</w:t>
                  </w:r>
                </w:p>
              </w:tc>
              <w:tc>
                <w:tcPr>
                  <w:tcW w:w="15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《机械工程测试技术基础》黄长艺等，机械工业出版社；《非电量电测技术》吴道悌，西安交大出版社；</w:t>
                  </w:r>
                </w:p>
              </w:tc>
              <w:tc>
                <w:tcPr>
                  <w:tcW w:w="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 </w:t>
                  </w:r>
                </w:p>
              </w:tc>
            </w:tr>
            <w:tr>
              <w:tblPrEx>
                <w:tblCellMar>
                  <w:top w:w="0" w:type="dxa"/>
                  <w:left w:w="0" w:type="dxa"/>
                  <w:bottom w:w="0" w:type="dxa"/>
                  <w:right w:w="0" w:type="dxa"/>
                </w:tblCellMar>
              </w:tblPrEx>
              <w:trPr>
                <w:tblCellSpacing w:w="7" w:type="dxa"/>
              </w:trPr>
              <w:tc>
                <w:tcPr>
                  <w:tcW w:w="25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自动控制（20分）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控制系统微分方程的建立，拉氏变换及反变换，方框图及其简化，控制系统频率响应特性，伯得图的绘制，根轨迹绘制，控制系统稳定性分析。</w:t>
                  </w:r>
                </w:p>
              </w:tc>
              <w:tc>
                <w:tcPr>
                  <w:tcW w:w="15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《现代控制工程》尾形克彦，电子工业出版社；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《自动控制理论》邹伯敏等，机械工业出版社；</w:t>
                  </w:r>
                </w:p>
              </w:tc>
              <w:tc>
                <w:tcPr>
                  <w:tcW w:w="8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 </w:t>
                  </w:r>
                </w:p>
              </w:tc>
            </w:tr>
          </w:tbl>
          <w:p>
            <w:pPr>
              <w:keepNext w:val="0"/>
              <w:keepLines w:val="0"/>
              <w:widowControl/>
              <w:suppressLineNumbers w:val="0"/>
              <w:jc w:val="left"/>
            </w:pPr>
            <w:r>
              <w:rPr>
                <w:rFonts w:hint="eastAsia" w:ascii="宋体" w:hAnsi="宋体" w:eastAsia="宋体" w:cs="宋体"/>
                <w:i w:val="0"/>
                <w:caps w:val="0"/>
                <w:color w:val="575757"/>
                <w:spacing w:val="0"/>
                <w:kern w:val="0"/>
                <w:sz w:val="18"/>
                <w:szCs w:val="18"/>
                <w:u w:val="none"/>
                <w:bdr w:val="none" w:color="auto" w:sz="0" w:space="0"/>
                <w:lang w:val="en-US" w:eastAsia="zh-CN" w:bidi="ar"/>
              </w:rPr>
              <w:t>2</w:t>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、面试内容</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1）口语交流，专业英文短文现场翻译;</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2）学科基础知识：机械类、测量/测试类、数控类、光学类、计算机应用类、机械CAD类、编程类（VB/VC）、科学计算类（Matlab、Ansys等）;</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3）综合素质实践能力等。</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六、复试成绩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：满分100分。笔试满分100分、面试满分100分，复试成绩=（笔试成绩+面试成绩）÷2。</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七、最终成绩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：满分100分。初试成绩不计政治、外语，复试成绩占比40%，即最终成绩=（初试成绩【不计政治、外语】+复试成绩×2）÷5。</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八、录取</w:t>
            </w:r>
            <w:r>
              <w:rPr>
                <w:rFonts w:hint="eastAsia" w:ascii="宋体" w:hAnsi="宋体" w:eastAsia="宋体" w:cs="宋体"/>
                <w:i w:val="0"/>
                <w:caps w:val="0"/>
                <w:color w:val="575757"/>
                <w:spacing w:val="0"/>
                <w:kern w:val="0"/>
                <w:sz w:val="18"/>
                <w:szCs w:val="18"/>
                <w:u w:val="none"/>
                <w:bdr w:val="none" w:color="auto" w:sz="0" w:space="0"/>
                <w:lang w:val="en-US" w:eastAsia="zh-CN" w:bidi="ar"/>
              </w:rPr>
              <w:t>：按最终成绩由高到低排序，提出拟录取名单报批。为保证招生质量，报批人数可小于招生计划。</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九、调剂</w:t>
            </w:r>
            <w:r>
              <w:rPr>
                <w:rFonts w:hint="eastAsia" w:ascii="宋体" w:hAnsi="宋体" w:eastAsia="宋体" w:cs="宋体"/>
                <w:i w:val="0"/>
                <w:caps w:val="0"/>
                <w:color w:val="575757"/>
                <w:spacing w:val="0"/>
                <w:kern w:val="0"/>
                <w:sz w:val="18"/>
                <w:szCs w:val="18"/>
                <w:u w:val="none"/>
                <w:bdr w:val="none" w:color="auto" w:sz="0" w:space="0"/>
                <w:lang w:val="en-US" w:eastAsia="zh-CN" w:bidi="ar"/>
              </w:rPr>
              <w:t>：本专业在生源不足的情况下接受调剂。调剂信息将于复试阶段在中国科大研究生招生在线网站（http://yz.ustc.edu.cn）发布。</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十、学费标准</w:t>
            </w:r>
            <w:r>
              <w:rPr>
                <w:rFonts w:hint="eastAsia" w:ascii="宋体" w:hAnsi="宋体" w:eastAsia="宋体" w:cs="宋体"/>
                <w:i w:val="0"/>
                <w:caps w:val="0"/>
                <w:color w:val="575757"/>
                <w:spacing w:val="0"/>
                <w:kern w:val="0"/>
                <w:sz w:val="18"/>
                <w:szCs w:val="18"/>
                <w:u w:val="none"/>
                <w:bdr w:val="none" w:color="auto" w:sz="0" w:space="0"/>
                <w:lang w:val="en-US" w:eastAsia="zh-CN" w:bidi="ar"/>
              </w:rPr>
              <w:t>：8000元/学年。 </w:t>
            </w:r>
          </w:p>
        </w:tc>
      </w:tr>
    </w:tbl>
    <w:p>
      <w:pPr>
        <w:rPr>
          <w:rFonts w:hint="eastAsia"/>
        </w:rPr>
      </w:pPr>
    </w:p>
    <w:p>
      <w:pPr>
        <w:rPr>
          <w:rFonts w:hint="eastAsia"/>
        </w:rPr>
      </w:pPr>
    </w:p>
    <w:p>
      <w:pPr>
        <w:rPr>
          <w:rFonts w:hint="eastAsia"/>
        </w:rPr>
      </w:pPr>
    </w:p>
    <w:tbl>
      <w:tblPr>
        <w:tblW w:w="11100" w:type="dxa"/>
        <w:tblCellSpacing w:w="0" w:type="dxa"/>
        <w:tblInd w:w="0" w:type="dxa"/>
        <w:shd w:val="clear" w:color="auto" w:fill="FFFFFF"/>
        <w:tblLayout w:type="autofit"/>
        <w:tblCellMar>
          <w:top w:w="0" w:type="dxa"/>
          <w:left w:w="0" w:type="dxa"/>
          <w:bottom w:w="0" w:type="dxa"/>
          <w:right w:w="0" w:type="dxa"/>
        </w:tblCellMar>
      </w:tblPr>
      <w:tblGrid>
        <w:gridCol w:w="11100"/>
      </w:tblGrid>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11100" w:type="dxa"/>
              <w:jc w:val="center"/>
              <w:tblCellSpacing w:w="15" w:type="dxa"/>
              <w:shd w:val="clear"/>
              <w:tblLayout w:type="autofit"/>
              <w:tblCellMar>
                <w:top w:w="0" w:type="dxa"/>
                <w:left w:w="0" w:type="dxa"/>
                <w:bottom w:w="0" w:type="dxa"/>
                <w:right w:w="0" w:type="dxa"/>
              </w:tblCellMar>
            </w:tblPr>
            <w:tblGrid>
              <w:gridCol w:w="3227"/>
              <w:gridCol w:w="1013"/>
              <w:gridCol w:w="1434"/>
              <w:gridCol w:w="2526"/>
              <w:gridCol w:w="2900"/>
            </w:tblGrid>
            <w:tr>
              <w:tblPrEx>
                <w:shd w:val="clear"/>
              </w:tblPrEx>
              <w:trPr>
                <w:trHeight w:val="450" w:hRule="atLeast"/>
                <w:tblCellSpacing w:w="15" w:type="dxa"/>
                <w:jc w:val="center"/>
              </w:trPr>
              <w:tc>
                <w:tcPr>
                  <w:tcW w:w="0" w:type="auto"/>
                  <w:gridSpan w:val="5"/>
                  <w:shd w:val="clear" w:color="auto" w:fill="DEF1FB"/>
                  <w:tcMar>
                    <w:left w:w="150" w:type="dxa"/>
                  </w:tcMar>
                  <w:vAlign w:val="center"/>
                </w:tcPr>
                <w:p>
                  <w:pPr>
                    <w:keepNext w:val="0"/>
                    <w:keepLines w:val="0"/>
                    <w:widowControl/>
                    <w:suppressLineNumbers w:val="0"/>
                    <w:shd w:val="clear" w:fill="DEF1FB"/>
                    <w:spacing w:line="330" w:lineRule="atLeast"/>
                    <w:jc w:val="left"/>
                    <w:rPr>
                      <w:rFonts w:hint="eastAsia" w:ascii="宋体" w:hAnsi="宋体" w:eastAsia="宋体" w:cs="宋体"/>
                      <w:b/>
                      <w:i w:val="0"/>
                      <w:color w:val="666666"/>
                      <w:sz w:val="18"/>
                      <w:szCs w:val="18"/>
                      <w:u w:val="none"/>
                    </w:rPr>
                  </w:pPr>
                  <w:r>
                    <w:rPr>
                      <w:rFonts w:hint="eastAsia" w:ascii="宋体" w:hAnsi="宋体" w:eastAsia="宋体" w:cs="宋体"/>
                      <w:b/>
                      <w:i w:val="0"/>
                      <w:color w:val="666666"/>
                      <w:kern w:val="0"/>
                      <w:sz w:val="18"/>
                      <w:szCs w:val="18"/>
                      <w:u w:val="none"/>
                      <w:bdr w:val="none" w:color="auto" w:sz="0" w:space="0"/>
                      <w:lang w:val="en-US" w:eastAsia="zh-CN" w:bidi="ar"/>
                    </w:rPr>
                    <w:t>学科专业名称：能源动力</w:t>
                  </w:r>
                  <w:r>
                    <w:rPr>
                      <w:rFonts w:hint="eastAsia" w:ascii="宋体" w:hAnsi="宋体" w:eastAsia="宋体" w:cs="宋体"/>
                      <w:b/>
                      <w:i w:val="0"/>
                      <w:color w:val="003399"/>
                      <w:kern w:val="0"/>
                      <w:sz w:val="18"/>
                      <w:szCs w:val="18"/>
                      <w:u w:val="none"/>
                      <w:bdr w:val="none" w:color="auto" w:sz="0" w:space="0"/>
                      <w:lang w:val="en-US" w:eastAsia="zh-CN" w:bidi="ar"/>
                    </w:rPr>
                    <w:t>（专业代码</w:t>
                  </w:r>
                  <w:r>
                    <w:rPr>
                      <w:rStyle w:val="4"/>
                      <w:rFonts w:hint="eastAsia" w:ascii="宋体" w:hAnsi="宋体" w:eastAsia="宋体" w:cs="宋体"/>
                      <w:i w:val="0"/>
                      <w:color w:val="003399"/>
                      <w:kern w:val="0"/>
                      <w:sz w:val="18"/>
                      <w:szCs w:val="18"/>
                      <w:u w:val="none"/>
                      <w:bdr w:val="none" w:color="auto" w:sz="0" w:space="0"/>
                      <w:lang w:val="en-US" w:eastAsia="zh-CN" w:bidi="ar"/>
                    </w:rPr>
                    <w:t>085800）</w:t>
                  </w:r>
                </w:p>
              </w:tc>
            </w:tr>
            <w:tr>
              <w:tblPrEx>
                <w:shd w:val="clear"/>
                <w:tblCellMar>
                  <w:top w:w="0" w:type="dxa"/>
                  <w:left w:w="0" w:type="dxa"/>
                  <w:bottom w:w="0" w:type="dxa"/>
                  <w:right w:w="0" w:type="dxa"/>
                </w:tblCellMar>
              </w:tblPrEx>
              <w:trPr>
                <w:trHeight w:val="30" w:hRule="atLeast"/>
                <w:tblCellSpacing w:w="15" w:type="dxa"/>
                <w:jc w:val="center"/>
              </w:trPr>
              <w:tc>
                <w:tcPr>
                  <w:tcW w:w="3060" w:type="dxa"/>
                  <w:shd w:val="clear"/>
                  <w:vAlign w:val="center"/>
                </w:tcPr>
                <w:p>
                  <w:pPr>
                    <w:rPr>
                      <w:rFonts w:hint="eastAsia" w:ascii="宋体"/>
                      <w:sz w:val="24"/>
                      <w:szCs w:val="24"/>
                    </w:rPr>
                  </w:pPr>
                </w:p>
              </w:tc>
              <w:tc>
                <w:tcPr>
                  <w:tcW w:w="945" w:type="dxa"/>
                  <w:shd w:val="clear"/>
                  <w:vAlign w:val="center"/>
                </w:tcPr>
                <w:p>
                  <w:pPr>
                    <w:rPr>
                      <w:rFonts w:hint="eastAsia" w:ascii="宋体"/>
                      <w:sz w:val="24"/>
                      <w:szCs w:val="24"/>
                    </w:rPr>
                  </w:pPr>
                </w:p>
              </w:tc>
              <w:tc>
                <w:tcPr>
                  <w:tcW w:w="1350" w:type="dxa"/>
                  <w:shd w:val="clear"/>
                  <w:vAlign w:val="center"/>
                </w:tcPr>
                <w:p>
                  <w:pPr>
                    <w:rPr>
                      <w:rFonts w:hint="eastAsia" w:ascii="宋体"/>
                      <w:sz w:val="24"/>
                      <w:szCs w:val="24"/>
                    </w:rPr>
                  </w:pPr>
                </w:p>
              </w:tc>
              <w:tc>
                <w:tcPr>
                  <w:tcW w:w="2400" w:type="dxa"/>
                  <w:shd w:val="clear"/>
                  <w:vAlign w:val="center"/>
                </w:tcPr>
                <w:p>
                  <w:pPr>
                    <w:rPr>
                      <w:rFonts w:hint="eastAsia" w:ascii="宋体"/>
                      <w:sz w:val="24"/>
                      <w:szCs w:val="24"/>
                    </w:rPr>
                  </w:pPr>
                </w:p>
              </w:tc>
              <w:tc>
                <w:tcPr>
                  <w:tcW w:w="2745" w:type="dxa"/>
                  <w:shd w:val="clear"/>
                  <w:vAlign w:val="center"/>
                </w:tcPr>
                <w:p>
                  <w:pPr>
                    <w:rPr>
                      <w:rFonts w:hint="eastAsia" w:ascii="宋体"/>
                      <w:sz w:val="24"/>
                      <w:szCs w:val="24"/>
                    </w:rPr>
                  </w:pPr>
                </w:p>
              </w:tc>
            </w:tr>
          </w:tbl>
          <w:p>
            <w:pPr>
              <w:rPr>
                <w:rFonts w:ascii="微软雅黑" w:hAnsi="微软雅黑" w:eastAsia="微软雅黑" w:cs="微软雅黑"/>
                <w:i w:val="0"/>
                <w:caps w:val="0"/>
                <w:color w:val="000000"/>
                <w:spacing w:val="0"/>
                <w:sz w:val="27"/>
                <w:szCs w:val="27"/>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tcMar>
              <w:top w:w="225" w:type="dxa"/>
              <w:left w:w="75" w:type="dxa"/>
              <w:bottom w:w="225" w:type="dxa"/>
              <w:right w:w="75" w:type="dxa"/>
            </w:tcMar>
            <w:vAlign w:val="center"/>
          </w:tcPr>
          <w:p>
            <w:pPr>
              <w:keepNext w:val="0"/>
              <w:keepLines w:val="0"/>
              <w:widowControl/>
              <w:suppressLineNumbers w:val="0"/>
              <w:spacing w:line="330" w:lineRule="atLeast"/>
              <w:ind w:left="0" w:firstLine="0"/>
              <w:jc w:val="left"/>
              <w:rPr>
                <w:rFonts w:hint="eastAsia" w:ascii="宋体" w:hAnsi="宋体" w:eastAsia="宋体" w:cs="宋体"/>
                <w:i w:val="0"/>
                <w:caps w:val="0"/>
                <w:color w:val="575757"/>
                <w:spacing w:val="0"/>
                <w:sz w:val="18"/>
                <w:szCs w:val="18"/>
                <w:u w:val="none"/>
              </w:rPr>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一、报考说明</w:t>
            </w:r>
            <w:r>
              <w:rPr>
                <w:rFonts w:hint="eastAsia" w:ascii="宋体" w:hAnsi="宋体" w:eastAsia="宋体" w:cs="宋体"/>
                <w:i w:val="0"/>
                <w:caps w:val="0"/>
                <w:color w:val="575757"/>
                <w:spacing w:val="0"/>
                <w:kern w:val="0"/>
                <w:sz w:val="18"/>
                <w:szCs w:val="18"/>
                <w:u w:val="none"/>
                <w:bdr w:val="none" w:color="auto" w:sz="0" w:space="0"/>
                <w:lang w:val="en-US" w:eastAsia="zh-CN" w:bidi="ar"/>
              </w:rPr>
              <w:t>：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本专业招收动力工程（能源转换、能源传输、能源利用、节能减排、机械工程）及相近方向教育背景的具有学士学位（或相当学历）的优秀本科毕业生。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二、专业介绍</w:t>
            </w:r>
            <w:r>
              <w:rPr>
                <w:rFonts w:hint="eastAsia" w:ascii="宋体" w:hAnsi="宋体" w:eastAsia="宋体" w:cs="宋体"/>
                <w:i w:val="0"/>
                <w:caps w:val="0"/>
                <w:color w:val="575757"/>
                <w:spacing w:val="0"/>
                <w:kern w:val="0"/>
                <w:sz w:val="18"/>
                <w:szCs w:val="18"/>
                <w:u w:val="none"/>
                <w:bdr w:val="none" w:color="auto" w:sz="0" w:space="0"/>
                <w:lang w:val="en-US" w:eastAsia="zh-CN" w:bidi="ar"/>
              </w:rPr>
              <w:t>：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动力工程（085206）是研究工程领域中的能源转换、传输和利用的理论和技术，提高能源利用率，减少能源消耗和污染物质排放，推动国民经济可持续发展的应用工程技术领域。它与人类的生产和生活密切相关，既有悠久的历史，又属于21世纪经济发展中的能源、信息、材料三大前沿领域之一。蒸汽机的发明是现代动力工程的开端，也标志着第一次工业革命的开始。随着当今社会动力的需求不断提高，电子技术、计算机技术、材料科学等高新技术对热能传输和控制的迫切要求，以及资源、环境与生态问题的日益突出，动力工程理论和技术工作者正面临着新的挑战，必将在能源高效利用、洁净燃烧、清洁能源、新型动力以及热能传输控制等诸多方面出现新的突破，并会对今后的人类文明产生重大影响。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三、研究方向及初试科目</w:t>
            </w:r>
            <w:r>
              <w:rPr>
                <w:rFonts w:hint="eastAsia" w:ascii="宋体" w:hAnsi="宋体" w:eastAsia="宋体" w:cs="宋体"/>
                <w:i w:val="0"/>
                <w:caps w:val="0"/>
                <w:color w:val="575757"/>
                <w:spacing w:val="0"/>
                <w:kern w:val="0"/>
                <w:sz w:val="18"/>
                <w:szCs w:val="18"/>
                <w:u w:val="none"/>
                <w:bdr w:val="none" w:color="auto" w:sz="0" w:space="0"/>
                <w:lang w:val="en-US" w:eastAsia="zh-CN" w:bidi="ar"/>
              </w:rPr>
              <w:t>：</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1629"/>
              <w:gridCol w:w="9321"/>
            </w:tblGrid>
            <w:tr>
              <w:tblPrEx>
                <w:shd w:val="clear" w:color="auto" w:fill="CCCCCC"/>
                <w:tblCellMar>
                  <w:top w:w="0" w:type="dxa"/>
                  <w:left w:w="0" w:type="dxa"/>
                  <w:bottom w:w="0" w:type="dxa"/>
                  <w:right w:w="0" w:type="dxa"/>
                </w:tblCellMar>
              </w:tblPrEx>
              <w:trPr>
                <w:tblCellSpacing w:w="7" w:type="dxa"/>
              </w:trPr>
              <w:tc>
                <w:tcPr>
                  <w:tcW w:w="0" w:type="auto"/>
                  <w:shd w:val="clear" w:color="auto" w:fill="193F8A"/>
                  <w:tcMar>
                    <w:top w:w="45" w:type="dxa"/>
                    <w:left w:w="150" w:type="dxa"/>
                    <w:bottom w:w="45" w:type="dxa"/>
                  </w:tcMar>
                  <w:vAlign w:val="center"/>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研究方向</w:t>
                  </w:r>
                </w:p>
              </w:tc>
              <w:tc>
                <w:tcPr>
                  <w:tcW w:w="0" w:type="auto"/>
                  <w:shd w:val="clear" w:color="auto" w:fill="193F8A"/>
                  <w:tcMar>
                    <w:top w:w="45" w:type="dxa"/>
                    <w:left w:w="150" w:type="dxa"/>
                    <w:bottom w:w="45" w:type="dxa"/>
                  </w:tcMar>
                  <w:vAlign w:val="center"/>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初试科目</w:t>
                  </w:r>
                </w:p>
              </w:tc>
            </w:tr>
            <w:tr>
              <w:tblPrEx>
                <w:shd w:val="clear" w:color="auto" w:fill="CCCCCC"/>
                <w:tblCellMar>
                  <w:top w:w="0" w:type="dxa"/>
                  <w:left w:w="0" w:type="dxa"/>
                  <w:bottom w:w="0" w:type="dxa"/>
                  <w:right w:w="0" w:type="dxa"/>
                </w:tblCellMar>
              </w:tblPrEx>
              <w:trPr>
                <w:tblCellSpacing w:w="7" w:type="dxa"/>
              </w:trPr>
              <w:tc>
                <w:tcPr>
                  <w:tcW w:w="0" w:type="auto"/>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1、动力工程</w:t>
                  </w:r>
                </w:p>
              </w:tc>
              <w:tc>
                <w:tcPr>
                  <w:tcW w:w="930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101 思想政治理论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 英语一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301 数学一 </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833 热工基础</w:t>
                  </w:r>
                </w:p>
              </w:tc>
            </w:tr>
          </w:tbl>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四、复试形式</w:t>
            </w:r>
            <w:r>
              <w:rPr>
                <w:rFonts w:hint="eastAsia" w:ascii="宋体" w:hAnsi="宋体" w:eastAsia="宋体" w:cs="宋体"/>
                <w:i w:val="0"/>
                <w:caps w:val="0"/>
                <w:color w:val="575757"/>
                <w:spacing w:val="0"/>
                <w:kern w:val="0"/>
                <w:sz w:val="18"/>
                <w:szCs w:val="18"/>
                <w:u w:val="none"/>
                <w:bdr w:val="none" w:color="auto" w:sz="0" w:space="0"/>
                <w:lang w:val="en-US" w:eastAsia="zh-CN" w:bidi="ar"/>
              </w:rPr>
              <w:t>：笔试+面试。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五、复试内容</w:t>
            </w:r>
            <w:r>
              <w:rPr>
                <w:rFonts w:hint="eastAsia" w:ascii="宋体" w:hAnsi="宋体" w:eastAsia="宋体" w:cs="宋体"/>
                <w:i w:val="0"/>
                <w:caps w:val="0"/>
                <w:color w:val="575757"/>
                <w:spacing w:val="0"/>
                <w:kern w:val="0"/>
                <w:sz w:val="18"/>
                <w:szCs w:val="18"/>
                <w:u w:val="none"/>
                <w:bdr w:val="none" w:color="auto" w:sz="0" w:space="0"/>
                <w:lang w:val="en-US" w:eastAsia="zh-CN" w:bidi="ar"/>
              </w:rPr>
              <w:t>：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面试：总分150分，含英语听说能力考核（满分50分）、专业基础课及专业课专业知识问答（满分100分）。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笔试：总分100分，含专业英文翻译50分，专业知识简答50分（含流体力学、传热学、工程热力学）。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六、复试成绩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：满分100分。面试满分150分、笔试满分100分，复试成绩=（面试成绩+笔试成绩）÷2.5。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七、最终成绩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：满分100分。复试成绩占比1/3，即最终成绩=（初试成绩÷5×2+复试成绩）÷3。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八、录取</w:t>
            </w:r>
            <w:r>
              <w:rPr>
                <w:rFonts w:hint="eastAsia" w:ascii="宋体" w:hAnsi="宋体" w:eastAsia="宋体" w:cs="宋体"/>
                <w:i w:val="0"/>
                <w:caps w:val="0"/>
                <w:color w:val="575757"/>
                <w:spacing w:val="0"/>
                <w:kern w:val="0"/>
                <w:sz w:val="18"/>
                <w:szCs w:val="18"/>
                <w:u w:val="none"/>
                <w:bdr w:val="none" w:color="auto" w:sz="0" w:space="0"/>
                <w:lang w:val="en-US" w:eastAsia="zh-CN" w:bidi="ar"/>
              </w:rPr>
              <w:t>：按最终成绩由高到低排序，提出拟录取名单报批。为保证招生质量，报批人数可小于招生计划。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九、调剂</w:t>
            </w:r>
            <w:r>
              <w:rPr>
                <w:rFonts w:hint="eastAsia" w:ascii="宋体" w:hAnsi="宋体" w:eastAsia="宋体" w:cs="宋体"/>
                <w:i w:val="0"/>
                <w:caps w:val="0"/>
                <w:color w:val="575757"/>
                <w:spacing w:val="0"/>
                <w:kern w:val="0"/>
                <w:sz w:val="18"/>
                <w:szCs w:val="18"/>
                <w:u w:val="none"/>
                <w:bdr w:val="none" w:color="auto" w:sz="0" w:space="0"/>
                <w:lang w:val="en-US" w:eastAsia="zh-CN" w:bidi="ar"/>
              </w:rPr>
              <w:t>：本专业在生源不足的情况下接受调剂。调剂信息将于复试阶段在中国科大研究生招生在线网站（http://yz.ustc.edu.cn）发布。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十、学费标准</w:t>
            </w:r>
            <w:r>
              <w:rPr>
                <w:rFonts w:hint="eastAsia" w:ascii="宋体" w:hAnsi="宋体" w:eastAsia="宋体" w:cs="宋体"/>
                <w:i w:val="0"/>
                <w:caps w:val="0"/>
                <w:color w:val="575757"/>
                <w:spacing w:val="0"/>
                <w:kern w:val="0"/>
                <w:sz w:val="18"/>
                <w:szCs w:val="18"/>
                <w:u w:val="none"/>
                <w:bdr w:val="none" w:color="auto" w:sz="0" w:space="0"/>
                <w:lang w:val="en-US" w:eastAsia="zh-CN" w:bidi="ar"/>
              </w:rPr>
              <w:t>：8000元/学年。</w:t>
            </w:r>
          </w:p>
        </w:tc>
      </w:tr>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4034A3"/>
    <w:rsid w:val="0C403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2019-12-03T09:27:00Z</dcterms:created>
  <dc:creator>Administrator</dc:creator>
  <cp:lastModifiedBy>Administrator</cp:lastModifiedBy>
  <dcterms:modified xsi:type="dcterms:W3CDTF">2019-12-03T09:29:26Z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