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bookmarkStart w:id="0" w:name="_GoBack"/>
      <w:r>
        <w:rPr>
          <w:rFonts w:hint="eastAsia"/>
          <w:sz w:val="52"/>
          <w:szCs w:val="52"/>
        </w:rPr>
        <w:t>微电子学院</w:t>
      </w:r>
    </w:p>
    <w:bookmarkEnd w:id="0"/>
    <w:p>
      <w:pPr>
        <w:rPr>
          <w:rFonts w:hint="eastAsia"/>
        </w:rPr>
      </w:pPr>
    </w:p>
    <w:p>
      <w:pPr>
        <w:rPr>
          <w:rFonts w:hint="eastAsia" w:ascii="宋体" w:hAnsi="宋体" w:eastAsia="宋体" w:cs="宋体"/>
          <w:b/>
          <w:i w:val="0"/>
          <w:caps w:val="0"/>
          <w:color w:val="666666"/>
          <w:spacing w:val="0"/>
          <w:sz w:val="18"/>
          <w:szCs w:val="18"/>
          <w:shd w:val="clear" w:fill="EFEFEF"/>
        </w:rPr>
      </w:pPr>
      <w:r>
        <w:rPr>
          <w:rFonts w:hint="eastAsia" w:ascii="宋体" w:hAnsi="宋体" w:eastAsia="宋体" w:cs="宋体"/>
          <w:b/>
          <w:i w:val="0"/>
          <w:caps w:val="0"/>
          <w:color w:val="666666"/>
          <w:spacing w:val="0"/>
          <w:sz w:val="18"/>
          <w:szCs w:val="18"/>
          <w:shd w:val="clear" w:fill="EFEFEF"/>
        </w:rPr>
        <w:t>微电子学院包含以下专业：</w:t>
      </w: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tblCellMar>
            <w:top w:w="0" w:type="dxa"/>
            <w:left w:w="0" w:type="dxa"/>
            <w:bottom w:w="0" w:type="dxa"/>
            <w:right w:w="0" w:type="dxa"/>
          </w:tblCellMar>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学科专业名称：电子信息</w:t>
                  </w:r>
                  <w:r>
                    <w:rPr>
                      <w:rFonts w:hint="eastAsia" w:ascii="宋体" w:hAnsi="宋体" w:eastAsia="宋体" w:cs="宋体"/>
                      <w:b/>
                      <w:i w:val="0"/>
                      <w:color w:val="003399"/>
                      <w:kern w:val="0"/>
                      <w:sz w:val="18"/>
                      <w:szCs w:val="18"/>
                      <w:u w:val="none"/>
                      <w:bdr w:val="none" w:color="auto" w:sz="0" w:space="0"/>
                      <w:lang w:val="en-US" w:eastAsia="zh-CN" w:bidi="ar"/>
                    </w:rPr>
                    <w:t> （专业代码　</w:t>
                  </w:r>
                  <w:r>
                    <w:rPr>
                      <w:rStyle w:val="4"/>
                      <w:rFonts w:hint="eastAsia" w:ascii="宋体" w:hAnsi="宋体" w:eastAsia="宋体" w:cs="宋体"/>
                      <w:i w:val="0"/>
                      <w:color w:val="003399"/>
                      <w:kern w:val="0"/>
                      <w:sz w:val="18"/>
                      <w:szCs w:val="18"/>
                      <w:u w:val="none"/>
                      <w:bdr w:val="none" w:color="auto" w:sz="0" w:space="0"/>
                      <w:lang w:val="en-US" w:eastAsia="zh-CN" w:bidi="ar"/>
                    </w:rPr>
                    <w:t>085400）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：与本学科相关专业的推免生、应届本科生和具有学士学位的往届本科生。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电子信息类专业，培养适应我国电子信息领域发展需求的应用型、复合型高层次工程技术和工程管理人才。所培养人才应掌握电子信息领域的基础理论、先进方法和现代技术手段，了解本领域的技术现状和发展趋势，在本领域的某一方向具有独立从事工程设计与运行、分析与集成、研究与开发、管理与决策等能力。能够胜任电子领域高层次工程技术和工程管理工作。</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微电子学院招收电子信息专业学位硕士，研究方向涵盖集成电路设计、制造、测试、封装、材料、设备以及集成电路在网络通信、数字家电、信息安全等方面应用的工程技术领域，是电子信息产业集成电路工程的基础。随着集成电路向高密度、高性能方向发展，使得集成电路工程技术成为当今最具有渗透性和综合性的工程技术领域之一。微电子学院电子信息专业学位硕士生，主要是培养集成电路设计与应用高级工程技术人才，掌握解决集成电路工程问题的先进技术方法和现代技术手段，具有创新意识和独立解决实际问题的能力。本专业毕业生具备扎实的数理功底和较高的集成电路系统设计能力，毕业去向主要是到国内信息领域的高新企业工作，部分去中科院相关研究所及国内其他高校。</w:t>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r>
              <w:rPr>
                <w:rFonts w:hint="eastAsia" w:ascii="宋体" w:hAnsi="宋体" w:eastAsia="宋体" w:cs="宋体"/>
                <w:i w:val="0"/>
                <w:caps w:val="0"/>
                <w:color w:val="575757"/>
                <w:spacing w:val="0"/>
                <w:kern w:val="0"/>
                <w:sz w:val="18"/>
                <w:szCs w:val="18"/>
                <w:u w:val="none"/>
                <w:bdr w:val="none" w:color="auto" w:sz="0" w:space="0"/>
                <w:lang w:val="en-US" w:eastAsia="zh-CN" w:bidi="ar"/>
              </w:rPr>
              <w:t>：</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6411"/>
              <w:gridCol w:w="4539"/>
            </w:tblGrid>
            <w:tr>
              <w:tblPrEx>
                <w:shd w:val="clear" w:color="auto" w:fill="CCCCCC"/>
                <w:tblCellMar>
                  <w:top w:w="0" w:type="dxa"/>
                  <w:left w:w="0" w:type="dxa"/>
                  <w:bottom w:w="0" w:type="dxa"/>
                  <w:right w:w="0" w:type="dxa"/>
                </w:tblCellMar>
              </w:tblPrEx>
              <w:trPr>
                <w:tblCellSpacing w:w="7" w:type="dxa"/>
              </w:trPr>
              <w:tc>
                <w:tcPr>
                  <w:tcW w:w="2900" w:type="pct"/>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2050" w:type="pct"/>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shd w:val="clear" w:color="auto" w:fill="CCCCCC"/>
                <w:tblCellMar>
                  <w:top w:w="0" w:type="dxa"/>
                  <w:left w:w="0" w:type="dxa"/>
                  <w:bottom w:w="0" w:type="dxa"/>
                  <w:right w:w="0" w:type="dxa"/>
                </w:tblCellMar>
              </w:tblPrEx>
              <w:trPr>
                <w:tblCellSpacing w:w="7" w:type="dxa"/>
              </w:trPr>
              <w:tc>
                <w:tcPr>
                  <w:tcW w:w="29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1、集成电路工程</w:t>
                  </w:r>
                </w:p>
              </w:tc>
              <w:tc>
                <w:tcPr>
                  <w:tcW w:w="20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301数学一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808电路与电子线路或929半导体物理</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：上机+面试。</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w:t>
            </w:r>
            <w:r>
              <w:rPr>
                <w:rFonts w:hint="eastAsia" w:ascii="宋体" w:hAnsi="宋体" w:eastAsia="宋体" w:cs="宋体"/>
                <w:i w:val="0"/>
                <w:caps w:val="0"/>
                <w:color w:val="575757"/>
                <w:spacing w:val="0"/>
                <w:kern w:val="0"/>
                <w:sz w:val="18"/>
                <w:szCs w:val="18"/>
                <w:u w:val="none"/>
                <w:bdr w:val="none" w:color="auto" w:sz="0" w:space="0"/>
                <w:lang w:val="en-US" w:eastAsia="zh-CN" w:bidi="ar"/>
              </w:rPr>
              <w:t>：</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计算机能力测试（上机）：由信息科学技术学院统一组织上机考试，内容包括Office基本操作和C语言编程。上机考试满分为50分。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面试：重点考察考生的思想道德品质、专业修养和发展潜力。内容包括英语听力和口语水平（约5分钟的英语听说能力考查）、专业基础、综合素质、解决实际问题能力和科研能力的评估等。面试时间为20分钟左右，满分为150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满分100分。上机满分50分，面试满分150分，复试成绩=（上机成绩+面试成绩）÷2。</w:t>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满分100分。初试成绩不计政治、外语，复试成绩占比50%，即，最终成绩=初试成绩【不计政治、外语】÷3×50%+复试成绩×50%。</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ascii="宋体" w:hAnsi="宋体" w:eastAsia="宋体" w:cs="宋体"/>
          <w:b/>
          <w:i w:val="0"/>
          <w:caps w:val="0"/>
          <w:color w:val="666666"/>
          <w:spacing w:val="0"/>
          <w:sz w:val="18"/>
          <w:szCs w:val="18"/>
          <w:shd w:val="clear" w:fill="EFEFEF"/>
        </w:rPr>
      </w:pPr>
    </w:p>
    <w:p>
      <w:pPr>
        <w:rPr>
          <w:rFonts w:hint="eastAsia" w:ascii="宋体" w:hAnsi="宋体" w:eastAsia="宋体" w:cs="宋体"/>
          <w:b/>
          <w:i w:val="0"/>
          <w:caps w:val="0"/>
          <w:color w:val="666666"/>
          <w:spacing w:val="0"/>
          <w:sz w:val="18"/>
          <w:szCs w:val="18"/>
          <w:shd w:val="clear" w:fill="EFEFEF"/>
        </w:rPr>
      </w:pPr>
    </w:p>
    <w:tbl>
      <w:tblPr>
        <w:tblW w:w="11100" w:type="dxa"/>
        <w:tblCellSpacing w:w="0" w:type="dxa"/>
        <w:tblInd w:w="0" w:type="dxa"/>
        <w:shd w:val="clear" w:color="auto" w:fill="FFFFFF"/>
        <w:tblLayout w:type="autofit"/>
        <w:tblCellMar>
          <w:top w:w="0" w:type="dxa"/>
          <w:left w:w="0" w:type="dxa"/>
          <w:bottom w:w="0" w:type="dxa"/>
          <w:right w:w="0" w:type="dxa"/>
        </w:tblCellMar>
      </w:tblPr>
      <w:tblGrid>
        <w:gridCol w:w="11100"/>
      </w:tblGrid>
      <w:tr>
        <w:tblPrEx>
          <w:shd w:val="clear" w:color="auto" w:fill="FFFFFF"/>
        </w:tblPrEx>
        <w:trPr>
          <w:tblCellSpacing w:w="0" w:type="dxa"/>
        </w:trPr>
        <w:tc>
          <w:tcPr>
            <w:tcW w:w="0" w:type="auto"/>
            <w:shd w:val="clear" w:color="auto" w:fill="FFFFFF"/>
            <w:vAlign w:val="center"/>
          </w:tcPr>
          <w:tbl>
            <w:tblPr>
              <w:tblW w:w="11100" w:type="dxa"/>
              <w:jc w:val="center"/>
              <w:tblCellSpacing w:w="15" w:type="dxa"/>
              <w:shd w:val="clear"/>
              <w:tblLayout w:type="autofit"/>
              <w:tblCellMar>
                <w:top w:w="0" w:type="dxa"/>
                <w:left w:w="0" w:type="dxa"/>
                <w:bottom w:w="0" w:type="dxa"/>
                <w:right w:w="0" w:type="dxa"/>
              </w:tblCellMar>
            </w:tblPr>
            <w:tblGrid>
              <w:gridCol w:w="3227"/>
              <w:gridCol w:w="1013"/>
              <w:gridCol w:w="1434"/>
              <w:gridCol w:w="2526"/>
              <w:gridCol w:w="2900"/>
            </w:tblGrid>
            <w:tr>
              <w:tblPrEx>
                <w:shd w:val="clear"/>
                <w:tblCellMar>
                  <w:top w:w="0" w:type="dxa"/>
                  <w:left w:w="0" w:type="dxa"/>
                  <w:bottom w:w="0" w:type="dxa"/>
                  <w:right w:w="0" w:type="dxa"/>
                </w:tblCellMar>
              </w:tblPrEx>
              <w:trPr>
                <w:trHeight w:val="450" w:hRule="atLeast"/>
                <w:tblCellSpacing w:w="15" w:type="dxa"/>
                <w:jc w:val="center"/>
              </w:trPr>
              <w:tc>
                <w:tcPr>
                  <w:tcW w:w="0" w:type="auto"/>
                  <w:gridSpan w:val="5"/>
                  <w:shd w:val="clear" w:color="auto" w:fill="DEF1FB"/>
                  <w:tcMar>
                    <w:left w:w="150" w:type="dxa"/>
                  </w:tcMar>
                  <w:vAlign w:val="center"/>
                </w:tcPr>
                <w:p>
                  <w:pPr>
                    <w:keepNext w:val="0"/>
                    <w:keepLines w:val="0"/>
                    <w:widowControl/>
                    <w:suppressLineNumbers w:val="0"/>
                    <w:shd w:val="clear" w:fill="DEF1FB"/>
                    <w:spacing w:line="330" w:lineRule="atLeast"/>
                    <w:jc w:val="left"/>
                    <w:rPr>
                      <w:rFonts w:hint="eastAsia" w:ascii="宋体" w:hAnsi="宋体" w:eastAsia="宋体" w:cs="宋体"/>
                      <w:b/>
                      <w:i w:val="0"/>
                      <w:color w:val="666666"/>
                      <w:sz w:val="18"/>
                      <w:szCs w:val="18"/>
                      <w:u w:val="none"/>
                    </w:rPr>
                  </w:pPr>
                  <w:r>
                    <w:rPr>
                      <w:rFonts w:hint="eastAsia" w:ascii="宋体" w:hAnsi="宋体" w:eastAsia="宋体" w:cs="宋体"/>
                      <w:b/>
                      <w:i w:val="0"/>
                      <w:color w:val="666666"/>
                      <w:kern w:val="0"/>
                      <w:sz w:val="18"/>
                      <w:szCs w:val="18"/>
                      <w:u w:val="none"/>
                      <w:bdr w:val="none" w:color="auto" w:sz="0" w:space="0"/>
                      <w:lang w:val="en-US" w:eastAsia="zh-CN" w:bidi="ar"/>
                    </w:rPr>
                    <w:t>学科专业名称：电子科学与技术</w:t>
                  </w:r>
                  <w:r>
                    <w:rPr>
                      <w:rFonts w:hint="eastAsia" w:ascii="宋体" w:hAnsi="宋体" w:eastAsia="宋体" w:cs="宋体"/>
                      <w:b/>
                      <w:i w:val="0"/>
                      <w:color w:val="003399"/>
                      <w:kern w:val="0"/>
                      <w:sz w:val="18"/>
                      <w:szCs w:val="18"/>
                      <w:u w:val="none"/>
                      <w:bdr w:val="none" w:color="auto" w:sz="0" w:space="0"/>
                      <w:lang w:val="en-US" w:eastAsia="zh-CN" w:bidi="ar"/>
                    </w:rPr>
                    <w:t> （专业代码　</w:t>
                  </w:r>
                  <w:r>
                    <w:rPr>
                      <w:rStyle w:val="4"/>
                      <w:rFonts w:hint="eastAsia" w:ascii="宋体" w:hAnsi="宋体" w:eastAsia="宋体" w:cs="宋体"/>
                      <w:i w:val="0"/>
                      <w:color w:val="003399"/>
                      <w:kern w:val="0"/>
                      <w:sz w:val="18"/>
                      <w:szCs w:val="18"/>
                      <w:u w:val="none"/>
                      <w:bdr w:val="none" w:color="auto" w:sz="0" w:space="0"/>
                      <w:lang w:val="en-US" w:eastAsia="zh-CN" w:bidi="ar"/>
                    </w:rPr>
                    <w:t>080900）</w:t>
                  </w:r>
                </w:p>
              </w:tc>
            </w:tr>
            <w:tr>
              <w:tblPrEx>
                <w:shd w:val="clear"/>
                <w:tblCellMar>
                  <w:top w:w="0" w:type="dxa"/>
                  <w:left w:w="0" w:type="dxa"/>
                  <w:bottom w:w="0" w:type="dxa"/>
                  <w:right w:w="0" w:type="dxa"/>
                </w:tblCellMar>
              </w:tblPrEx>
              <w:trPr>
                <w:trHeight w:val="30" w:hRule="atLeast"/>
                <w:tblCellSpacing w:w="15" w:type="dxa"/>
                <w:jc w:val="center"/>
              </w:trPr>
              <w:tc>
                <w:tcPr>
                  <w:tcW w:w="3060" w:type="dxa"/>
                  <w:shd w:val="clear"/>
                  <w:vAlign w:val="center"/>
                </w:tcPr>
                <w:p>
                  <w:pPr>
                    <w:rPr>
                      <w:rFonts w:hint="eastAsia" w:ascii="宋体"/>
                      <w:sz w:val="24"/>
                      <w:szCs w:val="24"/>
                    </w:rPr>
                  </w:pPr>
                </w:p>
              </w:tc>
              <w:tc>
                <w:tcPr>
                  <w:tcW w:w="945" w:type="dxa"/>
                  <w:shd w:val="clear"/>
                  <w:vAlign w:val="center"/>
                </w:tcPr>
                <w:p>
                  <w:pPr>
                    <w:rPr>
                      <w:rFonts w:hint="eastAsia" w:ascii="宋体"/>
                      <w:sz w:val="24"/>
                      <w:szCs w:val="24"/>
                    </w:rPr>
                  </w:pPr>
                </w:p>
              </w:tc>
              <w:tc>
                <w:tcPr>
                  <w:tcW w:w="1350" w:type="dxa"/>
                  <w:shd w:val="clear"/>
                  <w:vAlign w:val="center"/>
                </w:tcPr>
                <w:p>
                  <w:pPr>
                    <w:rPr>
                      <w:rFonts w:hint="eastAsia" w:ascii="宋体"/>
                      <w:sz w:val="24"/>
                      <w:szCs w:val="24"/>
                    </w:rPr>
                  </w:pPr>
                </w:p>
              </w:tc>
              <w:tc>
                <w:tcPr>
                  <w:tcW w:w="2400" w:type="dxa"/>
                  <w:shd w:val="clear"/>
                  <w:vAlign w:val="center"/>
                </w:tcPr>
                <w:p>
                  <w:pPr>
                    <w:rPr>
                      <w:rFonts w:hint="eastAsia" w:ascii="宋体"/>
                      <w:sz w:val="24"/>
                      <w:szCs w:val="24"/>
                    </w:rPr>
                  </w:pPr>
                </w:p>
              </w:tc>
              <w:tc>
                <w:tcPr>
                  <w:tcW w:w="2745" w:type="dxa"/>
                  <w:shd w:val="clear"/>
                  <w:vAlign w:val="center"/>
                </w:tcPr>
                <w:p>
                  <w:pPr>
                    <w:rPr>
                      <w:rFonts w:hint="eastAsia" w:ascii="宋体"/>
                      <w:sz w:val="24"/>
                      <w:szCs w:val="24"/>
                    </w:rPr>
                  </w:pPr>
                </w:p>
              </w:tc>
            </w:tr>
          </w:tbl>
          <w:p>
            <w:pPr>
              <w:rPr>
                <w:rFonts w:ascii="微软雅黑" w:hAnsi="微软雅黑" w:eastAsia="微软雅黑" w:cs="微软雅黑"/>
                <w:i w:val="0"/>
                <w:caps w:val="0"/>
                <w:color w:val="000000"/>
                <w:spacing w:val="0"/>
                <w:sz w:val="27"/>
                <w:szCs w:val="27"/>
              </w:rPr>
            </w:pPr>
          </w:p>
        </w:tc>
      </w:tr>
      <w:tr>
        <w:tblPrEx>
          <w:tblCellMar>
            <w:top w:w="0" w:type="dxa"/>
            <w:left w:w="0" w:type="dxa"/>
            <w:bottom w:w="0" w:type="dxa"/>
            <w:right w:w="0" w:type="dxa"/>
          </w:tblCellMar>
        </w:tblPrEx>
        <w:trPr>
          <w:tblCellSpacing w:w="0" w:type="dxa"/>
        </w:trPr>
        <w:tc>
          <w:tcPr>
            <w:tcW w:w="0" w:type="auto"/>
            <w:shd w:val="clear" w:color="auto" w:fill="FFFFFF"/>
            <w:tcMar>
              <w:top w:w="225" w:type="dxa"/>
              <w:left w:w="75" w:type="dxa"/>
              <w:bottom w:w="225" w:type="dxa"/>
              <w:right w:w="75" w:type="dxa"/>
            </w:tcMar>
            <w:vAlign w:val="center"/>
          </w:tcPr>
          <w:p>
            <w:pPr>
              <w:keepNext w:val="0"/>
              <w:keepLines w:val="0"/>
              <w:widowControl/>
              <w:suppressLineNumbers w:val="0"/>
              <w:spacing w:line="330" w:lineRule="atLeast"/>
              <w:ind w:left="0" w:firstLine="0"/>
              <w:jc w:val="left"/>
              <w:rPr>
                <w:rFonts w:hint="eastAsia" w:ascii="宋体" w:hAnsi="宋体" w:eastAsia="宋体" w:cs="宋体"/>
                <w:i w:val="0"/>
                <w:caps w:val="0"/>
                <w:color w:val="575757"/>
                <w:spacing w:val="0"/>
                <w:sz w:val="18"/>
                <w:szCs w:val="18"/>
                <w:u w:val="none"/>
              </w:rPr>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一、报考说明</w:t>
            </w:r>
            <w:r>
              <w:rPr>
                <w:rFonts w:hint="eastAsia" w:ascii="宋体" w:hAnsi="宋体" w:eastAsia="宋体" w:cs="宋体"/>
                <w:i w:val="0"/>
                <w:caps w:val="0"/>
                <w:color w:val="575757"/>
                <w:spacing w:val="0"/>
                <w:kern w:val="0"/>
                <w:sz w:val="18"/>
                <w:szCs w:val="18"/>
                <w:u w:val="none"/>
                <w:bdr w:val="none" w:color="auto" w:sz="0" w:space="0"/>
                <w:lang w:val="en-US" w:eastAsia="zh-CN" w:bidi="ar"/>
              </w:rPr>
              <w:t>：本学科方向硕士研究生，招收与本学科相关专业的推免生、应届本科生和具有学士学位的往届本科生。</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二、专业介绍：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微电子学院电子科学与技术一级学科招生涵盖：电路与系统（080902）、微电子学与固体电子学（080903）和电磁场与微波技术（080904）3个二级学科专业。毕业生主要去向：1）中科院及国家各部委所属研究所；2）高校及国家重点科研机构；3）国内外IT行业知名企业；4）出国继续深造和工作等。各二级学科专业简介如下：</w:t>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080902电路与系统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学科是安徽省重点学科，该学科主要研究电路与系统的理论、分析、测试、设计和物理实现。目前在集成电路与系统设计、智能信息处理、嵌入式系统设计、复杂系统与复杂性研究、软硬件协同设计技术等方向开展研究。毕业生将在电路与系统、信号处理等方面具有扎实理论基础和实验技能，能运用工程技术手段，研究和解决电路与系统中的有关问题，除出国深造外，能够在高校、科研院所及高新企业担任教学、科研及开发管理等工作。本学科毕业生有扎实的数理功底，很强的计算机应用能力。</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080903微电子学与固体电子学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学科面向国家战略需求和国际学术前沿，主要在微电子器件、集成电路设计、MEMS、人工智能芯片、量子芯片等方向开展研究。毕业生将在半导体器件与集成电路等方面具有扎实理论基础和实验技能，能运用工程技术手段，研究和解决器件和电路中的有关问题，除出国深造外，能够在高校、科研院所及半导体等领域的高新企业担任教学、科研及开发管理等工作，就业形势十分良好。</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080904电磁场与微波技术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本学科是安徽省重点学科，师资力量雄厚，主要从事电磁场理论、微波光波技术及其工程应用的研究，包括电磁场理论与应用、光波导理论与技术、微波毫米波技术与系统、微波毫米波集成技术、光波技术及其应用等几个主要研究方向。研究课题主要涉及电磁理论中的辐射与散射、计算电磁学、微波毫米波器件与电路、微波毫米波通信与雷达系统、超宽带（UWB）技术、新型天线技术、复杂目标的散射特性和复杂环境的传播特性、光器件与光传感技术、空间光通信与量子密钥分配技术以及与相关学科交叉的理论与技术等。研究方向与研究课题紧密结合国家重大需求和本学科的最新进展，具有创新思想活跃、理论与工程技术实践相结合的优势。依托中科院电磁空间信息重点实验室等开展教学科研活动。</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三、研究方向及初试科目：</w:t>
            </w:r>
          </w:p>
          <w:tbl>
            <w:tblPr>
              <w:tblW w:w="5000" w:type="pct"/>
              <w:tblCellSpacing w:w="7" w:type="dxa"/>
              <w:tblInd w:w="0" w:type="dxa"/>
              <w:shd w:val="clear" w:color="auto" w:fill="CCCCCC"/>
              <w:tblLayout w:type="autofit"/>
              <w:tblCellMar>
                <w:top w:w="0" w:type="dxa"/>
                <w:left w:w="0" w:type="dxa"/>
                <w:bottom w:w="0" w:type="dxa"/>
                <w:right w:w="0" w:type="dxa"/>
              </w:tblCellMar>
            </w:tblPr>
            <w:tblGrid>
              <w:gridCol w:w="7073"/>
              <w:gridCol w:w="3877"/>
            </w:tblGrid>
            <w:tr>
              <w:tblPrEx>
                <w:shd w:val="clear" w:color="auto" w:fill="CCCCCC"/>
                <w:tblCellMar>
                  <w:top w:w="0" w:type="dxa"/>
                  <w:left w:w="0" w:type="dxa"/>
                  <w:bottom w:w="0" w:type="dxa"/>
                  <w:right w:w="0" w:type="dxa"/>
                </w:tblCellMar>
              </w:tblPrEx>
              <w:trPr>
                <w:tblCellSpacing w:w="7" w:type="dxa"/>
              </w:trPr>
              <w:tc>
                <w:tcPr>
                  <w:tcW w:w="320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研究方向</w:t>
                  </w:r>
                </w:p>
              </w:tc>
              <w:tc>
                <w:tcPr>
                  <w:tcW w:w="1750" w:type="pct"/>
                  <w:shd w:val="clear" w:color="auto" w:fill="193F8A"/>
                  <w:tcMar>
                    <w:top w:w="45" w:type="dxa"/>
                    <w:left w:w="150" w:type="dxa"/>
                    <w:bottom w:w="45" w:type="dxa"/>
                  </w:tcMar>
                  <w:vAlign w:val="top"/>
                </w:tcPr>
                <w:p>
                  <w:pPr>
                    <w:keepNext w:val="0"/>
                    <w:keepLines w:val="0"/>
                    <w:widowControl/>
                    <w:suppressLineNumbers w:val="0"/>
                    <w:shd w:val="clear" w:fill="193F8A"/>
                    <w:spacing w:line="330" w:lineRule="atLeast"/>
                    <w:jc w:val="left"/>
                    <w:rPr>
                      <w:rFonts w:hint="eastAsia" w:ascii="宋体" w:hAnsi="宋体" w:eastAsia="宋体" w:cs="宋体"/>
                      <w:b/>
                      <w:i w:val="0"/>
                      <w:color w:val="FFFFFF"/>
                      <w:sz w:val="18"/>
                      <w:szCs w:val="18"/>
                      <w:u w:val="none"/>
                    </w:rPr>
                  </w:pPr>
                  <w:r>
                    <w:rPr>
                      <w:rStyle w:val="4"/>
                      <w:rFonts w:hint="eastAsia" w:ascii="宋体" w:hAnsi="宋体" w:eastAsia="宋体" w:cs="宋体"/>
                      <w:i w:val="0"/>
                      <w:color w:val="FFFFFF"/>
                      <w:kern w:val="0"/>
                      <w:sz w:val="18"/>
                      <w:szCs w:val="18"/>
                      <w:u w:val="none"/>
                      <w:bdr w:val="none" w:color="auto" w:sz="0" w:space="0"/>
                      <w:lang w:val="en-US" w:eastAsia="zh-CN" w:bidi="ar"/>
                    </w:rPr>
                    <w:t>初试科目</w:t>
                  </w:r>
                </w:p>
              </w:tc>
            </w:tr>
            <w:tr>
              <w:tblPrEx>
                <w:tblCellMar>
                  <w:top w:w="0" w:type="dxa"/>
                  <w:left w:w="0" w:type="dxa"/>
                  <w:bottom w:w="0" w:type="dxa"/>
                  <w:right w:w="0" w:type="dxa"/>
                </w:tblCellMar>
              </w:tblPrEx>
              <w:trPr>
                <w:tblCellSpacing w:w="7" w:type="dxa"/>
              </w:trPr>
              <w:tc>
                <w:tcPr>
                  <w:tcW w:w="32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Style w:val="4"/>
                      <w:rFonts w:hint="eastAsia" w:ascii="宋体" w:hAnsi="宋体" w:eastAsia="宋体" w:cs="宋体"/>
                      <w:i w:val="0"/>
                      <w:color w:val="003399"/>
                      <w:kern w:val="0"/>
                      <w:sz w:val="18"/>
                      <w:szCs w:val="18"/>
                      <w:u w:val="none"/>
                      <w:bdr w:val="none" w:color="auto" w:sz="0" w:space="0"/>
                      <w:lang w:val="en-US" w:eastAsia="zh-CN" w:bidi="ar"/>
                    </w:rPr>
                    <w:t>080902电路与系统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1、集成电路与系统设计</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2、智能信息处理</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3、嵌入式系统</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4、计算机应用</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5、复杂系统与复杂性研究</w:t>
                  </w:r>
                </w:p>
              </w:tc>
              <w:tc>
                <w:tcPr>
                  <w:tcW w:w="1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301数学一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808 电路与电子线路</w:t>
                  </w:r>
                </w:p>
              </w:tc>
            </w:tr>
            <w:tr>
              <w:tblPrEx>
                <w:tblCellMar>
                  <w:top w:w="0" w:type="dxa"/>
                  <w:left w:w="0" w:type="dxa"/>
                  <w:bottom w:w="0" w:type="dxa"/>
                  <w:right w:w="0" w:type="dxa"/>
                </w:tblCellMar>
              </w:tblPrEx>
              <w:trPr>
                <w:tblCellSpacing w:w="7" w:type="dxa"/>
              </w:trPr>
              <w:tc>
                <w:tcPr>
                  <w:tcW w:w="32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Style w:val="4"/>
                      <w:rFonts w:hint="eastAsia" w:ascii="宋体" w:hAnsi="宋体" w:eastAsia="宋体" w:cs="宋体"/>
                      <w:i w:val="0"/>
                      <w:color w:val="003399"/>
                      <w:kern w:val="0"/>
                      <w:sz w:val="18"/>
                      <w:szCs w:val="18"/>
                      <w:u w:val="none"/>
                      <w:bdr w:val="none" w:color="auto" w:sz="0" w:space="0"/>
                      <w:lang w:val="en-US" w:eastAsia="zh-CN" w:bidi="ar"/>
                    </w:rPr>
                    <w:t>080903微电子学与固体电子学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6、新原理/新材料器件</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7、集成电路设计与建模</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8、微机电系统（MEMS）</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9、存-算一体的智能芯片</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10、量子芯片</w:t>
                  </w:r>
                </w:p>
              </w:tc>
              <w:tc>
                <w:tcPr>
                  <w:tcW w:w="1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301数学一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808电路与电子线路或929半导体物理</w:t>
                  </w:r>
                </w:p>
              </w:tc>
            </w:tr>
            <w:tr>
              <w:tblPrEx>
                <w:tblCellMar>
                  <w:top w:w="0" w:type="dxa"/>
                  <w:left w:w="0" w:type="dxa"/>
                  <w:bottom w:w="0" w:type="dxa"/>
                  <w:right w:w="0" w:type="dxa"/>
                </w:tblCellMar>
              </w:tblPrEx>
              <w:trPr>
                <w:tblCellSpacing w:w="7" w:type="dxa"/>
              </w:trPr>
              <w:tc>
                <w:tcPr>
                  <w:tcW w:w="320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Style w:val="4"/>
                      <w:rFonts w:hint="eastAsia" w:ascii="宋体" w:hAnsi="宋体" w:eastAsia="宋体" w:cs="宋体"/>
                      <w:i w:val="0"/>
                      <w:color w:val="003399"/>
                      <w:kern w:val="0"/>
                      <w:sz w:val="18"/>
                      <w:szCs w:val="18"/>
                      <w:u w:val="none"/>
                      <w:bdr w:val="none" w:color="auto" w:sz="0" w:space="0"/>
                      <w:lang w:val="en-US" w:eastAsia="zh-CN" w:bidi="ar"/>
                    </w:rPr>
                    <w:t>080904电磁场与微波技术 </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11、电磁场理论及应用</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12、光波导理论与技术</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13、微波毫米波技术与系统</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14、光器件与光传感技术</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15、微波毫米波集成技术</w:t>
                  </w:r>
                </w:p>
              </w:tc>
              <w:tc>
                <w:tcPr>
                  <w:tcW w:w="1750" w:type="pc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jc w:val="left"/>
                    <w:rPr>
                      <w:rFonts w:hint="eastAsia" w:ascii="宋体" w:hAnsi="宋体" w:eastAsia="宋体" w:cs="宋体"/>
                      <w:i w:val="0"/>
                      <w:color w:val="003399"/>
                      <w:sz w:val="18"/>
                      <w:szCs w:val="18"/>
                      <w:u w:val="none"/>
                    </w:rPr>
                  </w:pPr>
                  <w:r>
                    <w:rPr>
                      <w:rFonts w:hint="eastAsia" w:ascii="宋体" w:hAnsi="宋体" w:eastAsia="宋体" w:cs="宋体"/>
                      <w:i w:val="0"/>
                      <w:color w:val="003399"/>
                      <w:kern w:val="0"/>
                      <w:sz w:val="18"/>
                      <w:szCs w:val="18"/>
                      <w:u w:val="none"/>
                      <w:bdr w:val="none" w:color="auto" w:sz="0" w:space="0"/>
                      <w:lang w:val="en-US" w:eastAsia="zh-CN" w:bidi="ar"/>
                    </w:rPr>
                    <w:t>101 思想政治理论</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201 英语一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301 数学一</w:t>
                  </w:r>
                  <w:r>
                    <w:rPr>
                      <w:rFonts w:hint="eastAsia" w:ascii="宋体" w:hAnsi="宋体" w:eastAsia="宋体" w:cs="宋体"/>
                      <w:i w:val="0"/>
                      <w:color w:val="003399"/>
                      <w:kern w:val="0"/>
                      <w:sz w:val="18"/>
                      <w:szCs w:val="18"/>
                      <w:u w:val="none"/>
                      <w:bdr w:val="none" w:color="auto" w:sz="0" w:space="0"/>
                      <w:lang w:val="en-US" w:eastAsia="zh-CN" w:bidi="ar"/>
                    </w:rPr>
                    <w:br w:type="textWrapping"/>
                  </w:r>
                  <w:r>
                    <w:rPr>
                      <w:rFonts w:hint="eastAsia" w:ascii="宋体" w:hAnsi="宋体" w:eastAsia="宋体" w:cs="宋体"/>
                      <w:i w:val="0"/>
                      <w:color w:val="003399"/>
                      <w:kern w:val="0"/>
                      <w:sz w:val="18"/>
                      <w:szCs w:val="18"/>
                      <w:u w:val="none"/>
                      <w:bdr w:val="none" w:color="auto" w:sz="0" w:space="0"/>
                      <w:lang w:val="en-US" w:eastAsia="zh-CN" w:bidi="ar"/>
                    </w:rPr>
                    <w:t>808 电路与电子线路</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四、复试形式：</w:t>
            </w:r>
            <w:r>
              <w:rPr>
                <w:rFonts w:hint="eastAsia" w:ascii="宋体" w:hAnsi="宋体" w:eastAsia="宋体" w:cs="宋体"/>
                <w:i w:val="0"/>
                <w:caps w:val="0"/>
                <w:color w:val="575757"/>
                <w:spacing w:val="0"/>
                <w:kern w:val="0"/>
                <w:sz w:val="18"/>
                <w:szCs w:val="18"/>
                <w:u w:val="none"/>
                <w:bdr w:val="none" w:color="auto" w:sz="0" w:space="0"/>
                <w:lang w:val="en-US" w:eastAsia="zh-CN" w:bidi="ar"/>
              </w:rPr>
              <w:t>上机+面试。</w:t>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五、复试内容：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计算机能力测试（上机）：由信息科学技术学院统一组织上机考试，内容包括Office基本操作和C语言编程。</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Fonts w:hint="eastAsia" w:ascii="宋体" w:hAnsi="宋体" w:eastAsia="宋体" w:cs="宋体"/>
                <w:i w:val="0"/>
                <w:caps w:val="0"/>
                <w:color w:val="575757"/>
                <w:spacing w:val="0"/>
                <w:kern w:val="0"/>
                <w:sz w:val="18"/>
                <w:szCs w:val="18"/>
                <w:u w:val="none"/>
                <w:bdr w:val="none" w:color="auto" w:sz="0" w:space="0"/>
                <w:lang w:val="en-US" w:eastAsia="zh-CN" w:bidi="ar"/>
              </w:rPr>
              <w:t>面试：重点考察考生的思想道德品质、专业修养和发展潜力。内容包括英语听力和口语水平（约5分钟的英语听说能力考查）、专业基础、综合素质、解决实际问题能力和科研能力的评估等。面试时间为20分钟左右，满分为150分。</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六、复试成绩：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满分100分。上机满分50分，面试满分150分，复试成绩=（上机成绩+面试成绩）÷2。</w:t>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七、最终成绩：</w:t>
            </w:r>
            <w:r>
              <w:rPr>
                <w:rFonts w:hint="eastAsia" w:ascii="宋体" w:hAnsi="宋体" w:eastAsia="宋体" w:cs="宋体"/>
                <w:i w:val="0"/>
                <w:caps w:val="0"/>
                <w:color w:val="575757"/>
                <w:spacing w:val="0"/>
                <w:kern w:val="0"/>
                <w:sz w:val="18"/>
                <w:szCs w:val="18"/>
                <w:u w:val="none"/>
                <w:bdr w:val="none" w:color="auto" w:sz="0" w:space="0"/>
                <w:lang w:val="en-US" w:eastAsia="zh-CN" w:bidi="ar"/>
              </w:rPr>
              <w:t>满分100分。初试成绩不计政治、外语，复试成绩占比50%，即，最终成绩=初试成绩【不计政治、外语】÷3×50%+复试成绩×50%。</w:t>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八、录取：</w:t>
            </w:r>
            <w:r>
              <w:rPr>
                <w:rFonts w:hint="eastAsia" w:ascii="宋体" w:hAnsi="宋体" w:eastAsia="宋体" w:cs="宋体"/>
                <w:i w:val="0"/>
                <w:caps w:val="0"/>
                <w:color w:val="575757"/>
                <w:spacing w:val="0"/>
                <w:kern w:val="0"/>
                <w:sz w:val="18"/>
                <w:szCs w:val="18"/>
                <w:u w:val="none"/>
                <w:bdr w:val="none" w:color="auto" w:sz="0" w:space="0"/>
                <w:lang w:val="en-US" w:eastAsia="zh-CN" w:bidi="ar"/>
              </w:rPr>
              <w:t>按最终成绩由高到低排序，提出拟录取名单报批。为保证招生质量，报批人数可小于招生计划</w:t>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九、调剂：</w:t>
            </w:r>
            <w:r>
              <w:rPr>
                <w:rFonts w:hint="eastAsia" w:ascii="宋体" w:hAnsi="宋体" w:eastAsia="宋体" w:cs="宋体"/>
                <w:i w:val="0"/>
                <w:caps w:val="0"/>
                <w:color w:val="575757"/>
                <w:spacing w:val="0"/>
                <w:kern w:val="0"/>
                <w:sz w:val="18"/>
                <w:szCs w:val="18"/>
                <w:u w:val="none"/>
                <w:bdr w:val="none" w:color="auto" w:sz="0" w:space="0"/>
                <w:lang w:val="en-US" w:eastAsia="zh-CN" w:bidi="ar"/>
              </w:rPr>
              <w:t>本专业在生源不足的情况下接受调剂。调剂信息将于复试阶段在中国科大研究生招生在线网站（http://yz.ustc.edu.cn）发布。</w:t>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 </w:t>
            </w:r>
            <w:r>
              <w:rPr>
                <w:rFonts w:hint="eastAsia" w:ascii="宋体" w:hAnsi="宋体" w:eastAsia="宋体" w:cs="宋体"/>
                <w:i w:val="0"/>
                <w:caps w:val="0"/>
                <w:color w:val="575757"/>
                <w:spacing w:val="0"/>
                <w:kern w:val="0"/>
                <w:sz w:val="18"/>
                <w:szCs w:val="18"/>
                <w:u w:val="none"/>
                <w:bdr w:val="none" w:color="auto" w:sz="0" w:space="0"/>
                <w:lang w:val="en-US" w:eastAsia="zh-CN" w:bidi="ar"/>
              </w:rPr>
              <w:br w:type="textWrapping"/>
            </w:r>
            <w:r>
              <w:rPr>
                <w:rStyle w:val="4"/>
                <w:rFonts w:hint="eastAsia" w:ascii="宋体" w:hAnsi="宋体" w:eastAsia="宋体" w:cs="宋体"/>
                <w:i w:val="0"/>
                <w:caps w:val="0"/>
                <w:color w:val="575757"/>
                <w:spacing w:val="0"/>
                <w:kern w:val="0"/>
                <w:sz w:val="18"/>
                <w:szCs w:val="18"/>
                <w:u w:val="none"/>
                <w:bdr w:val="none" w:color="auto" w:sz="0" w:space="0"/>
                <w:lang w:val="en-US" w:eastAsia="zh-CN" w:bidi="ar"/>
              </w:rPr>
              <w:t>十、学费标准</w:t>
            </w:r>
            <w:r>
              <w:rPr>
                <w:rFonts w:hint="eastAsia" w:ascii="宋体" w:hAnsi="宋体" w:eastAsia="宋体" w:cs="宋体"/>
                <w:i w:val="0"/>
                <w:caps w:val="0"/>
                <w:color w:val="575757"/>
                <w:spacing w:val="0"/>
                <w:kern w:val="0"/>
                <w:sz w:val="18"/>
                <w:szCs w:val="18"/>
                <w:u w:val="none"/>
                <w:bdr w:val="none" w:color="auto" w:sz="0" w:space="0"/>
                <w:lang w:val="en-US" w:eastAsia="zh-CN" w:bidi="ar"/>
              </w:rPr>
              <w:t>：8000元/学年。</w:t>
            </w:r>
          </w:p>
        </w:tc>
      </w:tr>
    </w:tbl>
    <w:p>
      <w:pPr>
        <w:rPr>
          <w:rFonts w:hint="eastAsia" w:ascii="宋体" w:hAnsi="宋体" w:eastAsia="宋体" w:cs="宋体"/>
          <w:b/>
          <w:i w:val="0"/>
          <w:caps w:val="0"/>
          <w:color w:val="666666"/>
          <w:spacing w:val="0"/>
          <w:sz w:val="18"/>
          <w:szCs w:val="18"/>
          <w:shd w:val="clear" w:fill="EFEFE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7133F"/>
    <w:rsid w:val="6BA71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2019-12-03T09:40:00Z</dcterms:created>
  <dc:creator>Administrator</dc:creator>
  <cp:lastModifiedBy>Administrator</cp:lastModifiedBy>
  <dcterms:modified xsi:type="dcterms:W3CDTF">2019-12-03T09:41:00Z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