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软件学院</w:t>
      </w:r>
    </w:p>
    <w:bookmarkEnd w:id="0"/>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ind w:left="0" w:firstLine="0"/>
              <w:jc w:val="left"/>
              <w:rPr>
                <w:rFonts w:hint="eastAsia" w:ascii="宋体" w:hAnsi="宋体" w:eastAsia="宋体" w:cs="宋体"/>
                <w:b/>
                <w:i w:val="0"/>
                <w:caps w:val="0"/>
                <w:color w:val="666666"/>
                <w:spacing w:val="0"/>
                <w:sz w:val="18"/>
                <w:szCs w:val="18"/>
                <w:u w:val="none"/>
              </w:rPr>
            </w:pPr>
            <w:r>
              <w:rPr>
                <w:rFonts w:hint="eastAsia" w:ascii="宋体" w:hAnsi="宋体" w:eastAsia="宋体" w:cs="宋体"/>
                <w:b/>
                <w:i w:val="0"/>
                <w:caps w:val="0"/>
                <w:color w:val="666666"/>
                <w:spacing w:val="0"/>
                <w:kern w:val="0"/>
                <w:sz w:val="18"/>
                <w:szCs w:val="18"/>
                <w:u w:val="none"/>
                <w:bdr w:val="none" w:color="auto" w:sz="0" w:space="0"/>
                <w:lang w:val="en-US" w:eastAsia="zh-CN" w:bidi="ar"/>
              </w:rPr>
              <w:t>软件学院包含以下专业：</w:t>
            </w:r>
          </w:p>
        </w:tc>
      </w:tr>
      <w:tr>
        <w:tblPrEx>
          <w:tblCellMar>
            <w:top w:w="0" w:type="dxa"/>
            <w:left w:w="0" w:type="dxa"/>
            <w:bottom w:w="0" w:type="dxa"/>
            <w:right w:w="0" w:type="dxa"/>
          </w:tblCellMar>
        </w:tblPrEx>
        <w:trPr>
          <w:trHeight w:val="121" w:hRule="atLeast"/>
          <w:tblCellSpacing w:w="0" w:type="dxa"/>
        </w:trPr>
        <w:tc>
          <w:tcPr>
            <w:tcW w:w="0" w:type="auto"/>
            <w:shd w:val="clear" w:color="auto" w:fill="FFFFFF"/>
            <w:vAlign w:val="center"/>
          </w:tcPr>
          <w:p>
            <w:pPr>
              <w:rPr>
                <w:rFonts w:hint="eastAsia" w:ascii="微软雅黑" w:hAnsi="微软雅黑" w:eastAsia="微软雅黑" w:cs="微软雅黑"/>
                <w:i w:val="0"/>
                <w:caps w:val="0"/>
                <w:color w:val="000000"/>
                <w:spacing w:val="0"/>
                <w:sz w:val="27"/>
                <w:szCs w:val="27"/>
              </w:rPr>
            </w:pPr>
          </w:p>
        </w:tc>
      </w:tr>
    </w:tbl>
    <w:p>
      <w:pPr>
        <w:rPr>
          <w:vanish/>
          <w:sz w:val="24"/>
          <w:szCs w:val="24"/>
        </w:rPr>
      </w:pPr>
    </w:p>
    <w:tbl>
      <w:tblPr>
        <w:tblW w:w="11131" w:type="dxa"/>
        <w:tblCellSpacing w:w="0" w:type="dxa"/>
        <w:tblInd w:w="-15" w:type="dxa"/>
        <w:shd w:val="clear" w:color="auto" w:fill="FFFFFF"/>
        <w:tblLayout w:type="autofit"/>
        <w:tblCellMar>
          <w:top w:w="0" w:type="dxa"/>
          <w:left w:w="0" w:type="dxa"/>
          <w:bottom w:w="0" w:type="dxa"/>
          <w:right w:w="0" w:type="dxa"/>
        </w:tblCellMar>
      </w:tblPr>
      <w:tblGrid>
        <w:gridCol w:w="15"/>
        <w:gridCol w:w="3150"/>
        <w:gridCol w:w="3150"/>
        <w:gridCol w:w="3150"/>
        <w:gridCol w:w="1666"/>
      </w:tblGrid>
      <w:tr>
        <w:tblPrEx>
          <w:shd w:val="clear" w:color="auto" w:fill="FFFFFF"/>
          <w:tblCellMar>
            <w:top w:w="0" w:type="dxa"/>
            <w:left w:w="0" w:type="dxa"/>
            <w:bottom w:w="0" w:type="dxa"/>
            <w:right w:w="0" w:type="dxa"/>
          </w:tblCellMar>
        </w:tblPrEx>
        <w:trPr>
          <w:gridBefore w:val="1"/>
          <w:gridAfter w:val="1"/>
          <w:wBefore w:w="15" w:type="dxa"/>
          <w:wAfter w:w="1666" w:type="dxa"/>
          <w:tblCellSpacing w:w="0" w:type="dxa"/>
        </w:trPr>
        <w:tc>
          <w:tcPr>
            <w:tcW w:w="3150" w:type="dxa"/>
            <w:shd w:val="clear" w:color="auto" w:fill="FFFFFF"/>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软件工程</w:t>
                  </w:r>
                </w:p>
              </w:tc>
            </w:tr>
          </w:tbl>
          <w:p>
            <w:pPr>
              <w:spacing w:line="330" w:lineRule="atLeast"/>
              <w:jc w:val="left"/>
              <w:rPr>
                <w:rFonts w:hint="eastAsia" w:ascii="微软雅黑" w:hAnsi="微软雅黑" w:eastAsia="微软雅黑" w:cs="微软雅黑"/>
                <w:i w:val="0"/>
                <w:caps w:val="0"/>
                <w:color w:val="000000"/>
                <w:spacing w:val="0"/>
                <w:sz w:val="27"/>
                <w:szCs w:val="27"/>
              </w:rPr>
            </w:pPr>
          </w:p>
        </w:tc>
        <w:tc>
          <w:tcPr>
            <w:tcW w:w="3150" w:type="dxa"/>
            <w:shd w:val="clear" w:color="auto" w:fill="FFFFFF"/>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电子信息</w:t>
                  </w:r>
                </w:p>
              </w:tc>
            </w:tr>
          </w:tbl>
          <w:p>
            <w:pPr>
              <w:spacing w:line="330" w:lineRule="atLeast"/>
              <w:jc w:val="left"/>
              <w:rPr>
                <w:rFonts w:hint="eastAsia" w:ascii="微软雅黑" w:hAnsi="微软雅黑" w:eastAsia="微软雅黑" w:cs="微软雅黑"/>
                <w:i w:val="0"/>
                <w:caps w:val="0"/>
                <w:color w:val="000000"/>
                <w:spacing w:val="0"/>
                <w:sz w:val="27"/>
                <w:szCs w:val="27"/>
              </w:rPr>
            </w:pPr>
          </w:p>
        </w:tc>
        <w:tc>
          <w:tcPr>
            <w:tcW w:w="3150" w:type="dxa"/>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tc>
      </w:tr>
      <w:tr>
        <w:tblPrEx>
          <w:shd w:val="clear" w:color="auto" w:fill="FFFFFF"/>
          <w:tblCellMar>
            <w:top w:w="0" w:type="dxa"/>
            <w:left w:w="0" w:type="dxa"/>
            <w:bottom w:w="0" w:type="dxa"/>
            <w:right w:w="0" w:type="dxa"/>
          </w:tblCellMar>
        </w:tblPrEx>
        <w:trPr>
          <w:tblCellSpacing w:w="7" w:type="dxa"/>
        </w:trPr>
        <w:tc>
          <w:tcPr>
            <w:tcW w:w="11101" w:type="dxa"/>
            <w:gridSpan w:val="5"/>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学科专业名称：软件工程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083500）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7" w:type="dxa"/>
        </w:trPr>
        <w:tc>
          <w:tcPr>
            <w:tcW w:w="11101" w:type="dxa"/>
            <w:gridSpan w:val="5"/>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2、软件工程、计算机及其相关专业。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重点研究以系统的、可控的、高效的方式开发和维护高质量软件所涉及的理论、方法和技术等问题。主要研究方向包括软件工程理论与模型、新型软件技术与方法、海量信息处理与知识工程、软件服务与应用和教育软件工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主要培养具有运用软件本质特性解决具体问题能力的软件工程基础研究人才；以及具有综合应用计算机科学、数学、管理等科学原理，借鉴传统工程的原则与方法等进行软件系统设计与开发能力的高级软件工程技术、管理和服务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毕业生主要去向:（1）国内外大型IT企业、研发机构；（2）国内外高校、科研机构、或继续深造。</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557"/>
              <w:gridCol w:w="7424"/>
            </w:tblGrid>
            <w:tr>
              <w:tblPrEx>
                <w:shd w:val="clear" w:color="auto" w:fill="CCCCCC"/>
              </w:tblPrEx>
              <w:trPr>
                <w:tblCellSpacing w:w="7" w:type="dxa"/>
              </w:trPr>
              <w:tc>
                <w:tcPr>
                  <w:tcW w:w="16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3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6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1、软件工程</w:t>
                  </w:r>
                </w:p>
              </w:tc>
              <w:tc>
                <w:tcPr>
                  <w:tcW w:w="33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408计算机学科专业基础综合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：面试+上机。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1、专业基础测评（上机50分）：专业基础测评主要考察考生有关C++和数据结构的基础知识及基本运用能力。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2、英语综合面试（满分25分）：重点考核考生的英语听说能力。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专业综合面试（满分100分）：主要考察考生对本学科（专业）理论知识和应用技能的掌握程度，包括考生对本专业基础知识的掌握和理解程度，综合应用所学知识解决实际问题的能力；考察考生在本专业以外的学习、科研、社会实践或实际工作等方面的经历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：满分100分，其中专业基础测评（上机）满分50分，英语综合面试满分25分，专业综合面试满分100分。复试成绩=(专业基础测评成绩+英语综合面试成绩+专业综合面试成绩×1.25)/2。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：按最终成绩由高到低排序，确定进入导师与考生“双向选择”人选。根据“双向选择”结果，提出拟录取名单报批。为保证招生质量，报批人数可小于招生计划。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学科专业名称：电子信息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085400）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1、接收推免生及统考生，以统考生为主；</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2、软件工程、计算机及其相关专业。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向软件技术的各个应用领域，培养高层次的复合型软件工程专业人才。目前设置4个专业方向：软件系统设计、网络与信息安全、嵌入式系统设计、大数据与人工智能。其中软件系统设计方向以软件系统设计中的通用软件技术为主，兼顾不同应用领域的特点；网络与信息安全以培养网络运管、服务系统软件和信息安全工程的高层次技术应用型人才为主要目标，兼顾通用软件设计技术；嵌入式系统设计培养既具有嵌入式系统软件设计知识，又理解集成电路基本理论和集成电路设计方法，掌握集成电路设计工具，具备全面的系统设计、分析和创新能力的复合型人才为主要目标；大数据与人工智能方向培养具有发展潜力的人工智能领军人才，主要培养人工智能基础研究、应用研究、运行维护等方面的专业技术人才，尤其重视复合型人才培养，即培养贯通人工智能理论、方法、技术、产品与应用等的纵向复合型人才，以及掌握“人工智能+”、经济、社会、管理、标准、法律等的横向复合型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毕业生就业方向：国内外大型IT企业、研发机构、事业单位。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毕业生就业方向：国内外大型IT企业、研发机构、事业单位。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547"/>
              <w:gridCol w:w="7403"/>
            </w:tblGrid>
            <w:tr>
              <w:tblPrEx>
                <w:shd w:val="clear" w:color="auto" w:fill="CCCCCC"/>
                <w:tblCellMar>
                  <w:top w:w="0" w:type="dxa"/>
                  <w:left w:w="0" w:type="dxa"/>
                  <w:bottom w:w="0" w:type="dxa"/>
                  <w:right w:w="0" w:type="dxa"/>
                </w:tblCellMar>
              </w:tblPrEx>
              <w:trPr>
                <w:tblCellSpacing w:w="7" w:type="dxa"/>
              </w:trPr>
              <w:tc>
                <w:tcPr>
                  <w:tcW w:w="16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3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6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1、软件工程</w:t>
                  </w:r>
                </w:p>
              </w:tc>
              <w:tc>
                <w:tcPr>
                  <w:tcW w:w="33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408计算机学科专业基础综合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：面试+上机。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1、专业基础测评（上机50分）：专业基础测评主要考察考生有关C++和数据结构的基础知识及基本运用能力。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2、英语综合面试（满分25分）：重点考核考生的英语听说能力。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专业综合面试（满分100分）：主要考察考生对本学科（专业）理论知识和应用技能的掌握程度，包括考生对本专业基础知识的掌握和理解程度，综合应用所学知识解决实际问题的能力；考察考生在本专业以外的学习、科研、社会实践或实际工作等方面的经历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：满分100分，其中专业基础测评（上机）满分50分，英语综合面试满分25分，专业综合面试满分100分。复试成绩=(专业基础测评成绩+英语综合面试成绩+专业综合面试成绩×1.25)/2。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：共计4万元，第一学年初缴费2万元，第二学年初缴费2万元。</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B3378"/>
    <w:rsid w:val="744B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2019-12-03T09:37:00Z</dcterms:created>
  <dc:creator>Administrator</dc:creator>
  <cp:lastModifiedBy>Administrator</cp:lastModifiedBy>
  <dcterms:modified xsi:type="dcterms:W3CDTF">2019-12-03T09:38:21Z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