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52"/>
          <w:szCs w:val="52"/>
          <w:lang w:val="en-US" w:eastAsia="zh-CN"/>
        </w:rPr>
      </w:pPr>
      <w:bookmarkStart w:id="0" w:name="_GoBack"/>
      <w:r>
        <w:rPr>
          <w:rFonts w:hint="default"/>
          <w:sz w:val="52"/>
          <w:szCs w:val="52"/>
          <w:lang w:val="en-US" w:eastAsia="zh-CN"/>
        </w:rPr>
        <w:t>数学科学学院</w:t>
      </w:r>
    </w:p>
    <w:bookmarkEnd w:id="0"/>
    <w:p>
      <w:pPr>
        <w:rPr>
          <w:rFonts w:hint="default"/>
          <w:lang w:val="en-US" w:eastAsia="zh-CN"/>
        </w:rPr>
      </w:pPr>
    </w:p>
    <w:tbl>
      <w:tblPr>
        <w:tblpPr w:vertAnchor="text" w:tblpXSpec="right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D8D8D8" w:sz="6" w:space="0"/>
            </w:tcBorders>
            <w:shd w:val="clear" w:color="auto" w:fill="FFFFFF"/>
            <w:vAlign w:val="center"/>
          </w:tcPr>
          <w:tbl>
            <w:tblPr>
              <w:tblW w:w="11100" w:type="dxa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0" w:type="auto"/>
                  <w:shd w:val="clear" w:color="auto" w:fill="EFEFEF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FEFEF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数学学院包含以下专业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" w:hRule="atLeast"/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  <w:gridCol w:w="1800"/>
              <w:gridCol w:w="1500"/>
              <w:gridCol w:w="15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00" w:type="dxa"/>
                  <w:shd w:val="clear"/>
                  <w:vAlign w:val="center"/>
                </w:tcPr>
                <w:tbl>
                  <w:tblPr>
                    <w:tblW w:w="1500" w:type="dxa"/>
                    <w:tblCellSpacing w:w="0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/>
                        <w:tcMar>
                          <w:left w:w="30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数 学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left"/>
                  </w:pPr>
                </w:p>
              </w:tc>
              <w:tc>
                <w:tcPr>
                  <w:tcW w:w="1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1110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</w:tblPrEx>
              <w:trPr>
                <w:trHeight w:val="151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11100" w:type="dxa"/>
                    <w:jc w:val="center"/>
                    <w:tblCellSpacing w:w="15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100"/>
                  </w:tblGrid>
                  <w:tr>
                    <w:trPr>
                      <w:trHeight w:val="450" w:hRule="atLeast"/>
                      <w:tblCellSpacing w:w="15" w:type="dxa"/>
                      <w:jc w:val="center"/>
                    </w:trPr>
                    <w:tc>
                      <w:tcPr>
                        <w:tcW w:w="10500" w:type="dxa"/>
                        <w:shd w:val="clear" w:color="auto" w:fill="DEF1FB"/>
                        <w:tcMar>
                          <w:lef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EF1FB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666666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666666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学科专业名称：数学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(专业代码</w:t>
                        </w:r>
                        <w:r>
                          <w:rPr>
                            <w:rStyle w:val="5"/>
                            <w:rFonts w:hint="eastAsia" w:ascii="宋体" w:hAnsi="宋体" w:eastAsia="宋体" w:cs="宋体"/>
                            <w:i w:val="0"/>
                            <w:color w:val="003399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070100)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left"/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一、报考说明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接收推免生及统考生。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二、专业介绍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1、本专业涵盖以下二级学科专业及研究方向：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基础数学：代数学（李代数、代数K-理论、群论、代数数论、代数表示论、交换代数），分析（复分析、泛函分析、Clifford分析），动力系统和遍历理论（拓扑动力系统、遍历理论、微分动力系统、Hamilton系统、微分方程定性理论、随机动力系统），微分几何（微分几何、复几何、几何分析），偏微分方程（椭圆、抛物型方程、几何、物理中方程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计算数学：数学建模，数值分析与数值代数，微分方程数值解，优化，大规模科学计算，计算机辅助几何设计，数学在生物、信息、材料等学科中的应用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应用数学：图论与组合，微分方程反问题，可积系统，偏微分方程定性理论及其应用，计算机图形学与图像处理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运筹学与控制论：最优化理论与算法，物流调度，数据分析与建模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生物数学：种群动力学，数学传染病学，扩散与趋向性理论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数学物理：量子场论，弦论，可积系统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概率统计：随机分析，计算金融，统计学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2、毕业就业方向：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高等院校、科研机构、公司与企业培养具有坚实理论基础和系统专业知识的教学、科研与应用型人才。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三、研究方向及初试科目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</w:t>
                  </w:r>
                </w:p>
                <w:tbl>
                  <w:tblPr>
                    <w:tblW w:w="5000" w:type="pct"/>
                    <w:tblCellSpacing w:w="7" w:type="dxa"/>
                    <w:tblInd w:w="0" w:type="dxa"/>
                    <w:shd w:val="clear" w:color="auto" w:fill="CCCCCC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45"/>
                    <w:gridCol w:w="4611"/>
                  </w:tblGrid>
                  <w:tr>
                    <w:tblPrEx>
                      <w:shd w:val="clear" w:color="auto" w:fill="CCCCCC"/>
                    </w:tblPrEx>
                    <w:trPr>
                      <w:tblCellSpacing w:w="7" w:type="dxa"/>
                    </w:trPr>
                    <w:tc>
                      <w:tcPr>
                        <w:tcW w:w="2150" w:type="pct"/>
                        <w:shd w:val="clear" w:color="auto" w:fill="193F8A"/>
                        <w:tcMar>
                          <w:top w:w="45" w:type="dxa"/>
                          <w:left w:w="150" w:type="dxa"/>
                          <w:bottom w:w="4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193F8A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研究方向</w:t>
                        </w:r>
                      </w:p>
                    </w:tc>
                    <w:tc>
                      <w:tcPr>
                        <w:tcW w:w="2800" w:type="pct"/>
                        <w:shd w:val="clear" w:color="auto" w:fill="193F8A"/>
                        <w:tcMar>
                          <w:top w:w="45" w:type="dxa"/>
                          <w:left w:w="150" w:type="dxa"/>
                          <w:bottom w:w="4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193F8A"/>
                          <w:spacing w:line="330" w:lineRule="atLeast"/>
                          <w:jc w:val="left"/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初试科目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215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1、动力系统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2、几何与拓扑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3、数学物理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4、代数与数论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5、微分方程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6、现代分析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7、科学计算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8、几何设计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9、生物数学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10、组合网络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11、计算机图形学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12、图像处理</w:t>
                        </w:r>
                      </w:p>
                    </w:tc>
                    <w:tc>
                      <w:tcPr>
                        <w:tcW w:w="2800" w:type="pct"/>
                        <w:shd w:val="clear" w:color="auto" w:fill="EEF8FD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101思想政治理论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201英语一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620数学分析</w:t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3399"/>
                            <w:sz w:val="18"/>
                            <w:szCs w:val="18"/>
                            <w:u w:val="none"/>
                            <w:bdr w:val="none" w:color="auto" w:sz="0" w:space="0"/>
                          </w:rPr>
                          <w:t>842线性代数与解析几何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</w:pP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四、复试形式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：笔试+面试。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五、复试内容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复试（笔试）试题覆盖范围如下：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实变函数：R^n上的Lebesgue测度；可测函数的概念及其基本性质；可测函数的积分及其Lebesgue积分；积分的控制收敛定理、Levi引理和Fatou引理；乘积测度与Fubini定理；单调函数、有界变差函数和全连续函数。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复变函数：可微与解析，Cauchy-Riemann方程，Cauchy积分定理，Cauchy积分公式，最大模原理，Schwarz引理，解析函数的唯一性定理，调和函数，幂级数与Laurent级数，孤立奇点，留数及其应用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抽象代数：群：什么是群，子群和陪集分解，循环群，正规子群、商群的概念和同态基本定理，置换群，群在集合上的作用。环和域：基本概念，环同态（定义、理想、商环、第一同构定理、素环与素域、中国剩余定理、素理想与极大理想），唯一因子分解整环与欧氏整环的概念及主要例子，域上多项式环，域的单代数扩张，有限域初步知识（定理1）。基本要求：重点考察对基本概念的了解及其重要实例，知道最主要的定理及其简单应用，对解题技巧不作高的要求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微分几何：三维欧式空间的曲线理论，包括曲线的曲率、挠率、曲线论基本定理；三维欧式空间曲面的基本理论，包括第一基本形式、第二基本形式、主曲率、平均曲率、Gauss曲率。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六、复试成绩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：满分100分。笔试满分200分，面试满分100分，复试成绩=（笔试成绩+面试成绩）÷3。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七、最终成绩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：满分100分。初试成绩不计政治、外语，复试成绩占比50%，即：最终成绩=（初试成绩【不计政治、外语】÷3+复试成绩）÷2。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八、录取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：按最终成绩由高到低排序，提出拟录取名单报批。为保证招生质量，报批人数可小于招生计划。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九、调剂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：本专业在生源不足的情况下接受调剂。调剂信息将于复试阶段在中国科大研究生招生在线网站（http://yz.ustc.edu.cn）发布。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十、学费标准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75757"/>
                      <w:sz w:val="18"/>
                      <w:szCs w:val="18"/>
                      <w:u w:val="none"/>
                      <w:bdr w:val="none" w:color="auto" w:sz="0" w:space="0"/>
                    </w:rPr>
                    <w:t>：8000元/学年。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1794"/>
    <w:rsid w:val="588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2019-12-03T09:10:00Z</dcterms:created>
  <dc:creator>Administrator</dc:creator>
  <cp:lastModifiedBy>Administrator</cp:lastModifiedBy>
  <dcterms:modified xsi:type="dcterms:W3CDTF">2019-12-03T09:23:03Z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