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生命科学与医学部-生命科学学院</w:t>
      </w:r>
    </w:p>
    <w:bookmarkEnd w:id="0"/>
    <w:p>
      <w:pPr>
        <w:rPr>
          <w:rFonts w:hint="eastAsia"/>
        </w:rPr>
      </w:pPr>
    </w:p>
    <w:tbl>
      <w:tblPr>
        <w:tblpPr w:vertAnchor="text" w:tblpXSpec="right"/>
        <w:tblW w:w="0" w:type="auto"/>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trPr>
        <w:tc>
          <w:tcPr>
            <w:tcW w:w="0" w:type="auto"/>
            <w:tcBorders>
              <w:bottom w:val="single" w:color="D8D8D8" w:sz="6" w:space="0"/>
            </w:tcBorders>
            <w:shd w:val="clear" w:color="auto" w:fill="FFFFFF"/>
            <w:vAlign w:val="center"/>
          </w:tcPr>
          <w:tbl>
            <w:tblPr>
              <w:tblW w:w="11100" w:type="dxa"/>
              <w:tblCellSpacing w:w="0" w:type="dxa"/>
              <w:tblInd w:w="0" w:type="dxa"/>
              <w:shd w:val="clear"/>
              <w:tblLayout w:type="autofit"/>
              <w:tblCellMar>
                <w:top w:w="0" w:type="dxa"/>
                <w:left w:w="0" w:type="dxa"/>
                <w:bottom w:w="0" w:type="dxa"/>
                <w:right w:w="0" w:type="dxa"/>
              </w:tblCellMar>
            </w:tblPr>
            <w:tblGrid>
              <w:gridCol w:w="11100"/>
            </w:tblGrid>
            <w:tr>
              <w:tblPrEx>
                <w:shd w:val="clear"/>
              </w:tblPrEx>
              <w:trPr>
                <w:trHeight w:val="375" w:hRule="atLeast"/>
                <w:tblCellSpacing w:w="0" w:type="dxa"/>
              </w:trPr>
              <w:tc>
                <w:tcPr>
                  <w:tcW w:w="0" w:type="auto"/>
                  <w:shd w:val="clear" w:color="auto" w:fill="EFEFEF"/>
                  <w:tcMar>
                    <w:left w:w="150" w:type="dxa"/>
                  </w:tcMar>
                  <w:vAlign w:val="center"/>
                </w:tcPr>
                <w:p>
                  <w:pPr>
                    <w:keepNext w:val="0"/>
                    <w:keepLines w:val="0"/>
                    <w:widowControl/>
                    <w:suppressLineNumbers w:val="0"/>
                    <w:shd w:val="clear" w:fill="EFEFEF"/>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生命科学与医学部-生命科学学院包含以下专业：</w:t>
                  </w:r>
                </w:p>
              </w:tc>
            </w:tr>
            <w:tr>
              <w:tblPrEx>
                <w:shd w:val="clear"/>
                <w:tblCellMar>
                  <w:top w:w="0" w:type="dxa"/>
                  <w:left w:w="0" w:type="dxa"/>
                  <w:bottom w:w="0" w:type="dxa"/>
                  <w:right w:w="0" w:type="dxa"/>
                </w:tblCellMar>
              </w:tblPrEx>
              <w:trPr>
                <w:trHeight w:val="121" w:hRule="atLeast"/>
                <w:tblCellSpacing w:w="0" w:type="dxa"/>
              </w:trPr>
              <w:tc>
                <w:tcPr>
                  <w:tcW w:w="0" w:type="auto"/>
                  <w:shd w:val="clear"/>
                  <w:vAlign w:val="center"/>
                </w:tcPr>
                <w:p>
                  <w:pPr>
                    <w:rPr>
                      <w:rFonts w:hint="eastAsia" w:ascii="宋体"/>
                      <w:sz w:val="24"/>
                      <w:szCs w:val="24"/>
                    </w:rPr>
                  </w:pPr>
                </w:p>
              </w:tc>
            </w:tr>
          </w:tbl>
          <w:p>
            <w:pPr>
              <w:rPr>
                <w:vanish/>
                <w:sz w:val="24"/>
                <w:szCs w:val="24"/>
              </w:rPr>
            </w:pPr>
          </w:p>
          <w:tbl>
            <w:tblPr>
              <w:tblW w:w="0" w:type="auto"/>
              <w:tblCellSpacing w:w="0" w:type="dxa"/>
              <w:tblInd w:w="0" w:type="dxa"/>
              <w:shd w:val="clear"/>
              <w:tblLayout w:type="autofit"/>
              <w:tblCellMar>
                <w:top w:w="0" w:type="dxa"/>
                <w:left w:w="0" w:type="dxa"/>
                <w:bottom w:w="0" w:type="dxa"/>
                <w:right w:w="0" w:type="dxa"/>
              </w:tblCellMar>
            </w:tblPr>
            <w:tblGrid>
              <w:gridCol w:w="1500"/>
              <w:gridCol w:w="1500"/>
              <w:gridCol w:w="1500"/>
              <w:gridCol w:w="1500"/>
            </w:tblGrid>
            <w:tr>
              <w:tblPrEx>
                <w:tblCellMar>
                  <w:top w:w="0" w:type="dxa"/>
                  <w:left w:w="0" w:type="dxa"/>
                  <w:bottom w:w="0" w:type="dxa"/>
                  <w:right w:w="0" w:type="dxa"/>
                </w:tblCellMar>
              </w:tblPrEx>
              <w:trPr>
                <w:tblCellSpacing w:w="0" w:type="dxa"/>
              </w:trPr>
              <w:tc>
                <w:tcPr>
                  <w:tcW w:w="1500" w:type="dxa"/>
                  <w:shd w:val="clear"/>
                  <w:vAlign w:val="center"/>
                </w:tcPr>
                <w:tbl>
                  <w:tblPr>
                    <w:tblW w:w="1500" w:type="dxa"/>
                    <w:tblCellSpacing w:w="0" w:type="dxa"/>
                    <w:tblInd w:w="0" w:type="dxa"/>
                    <w:shd w:val="clear"/>
                    <w:tblLayout w:type="autofit"/>
                    <w:tblCellMar>
                      <w:top w:w="0" w:type="dxa"/>
                      <w:left w:w="0" w:type="dxa"/>
                      <w:bottom w:w="0" w:type="dxa"/>
                      <w:right w:w="0" w:type="dxa"/>
                    </w:tblCellMar>
                  </w:tblPr>
                  <w:tblGrid>
                    <w:gridCol w:w="1500"/>
                  </w:tblGrid>
                  <w:tr>
                    <w:tblPrEx>
                      <w:shd w:val="clear"/>
                      <w:tblCellMar>
                        <w:top w:w="0" w:type="dxa"/>
                        <w:left w:w="0" w:type="dxa"/>
                        <w:bottom w:w="0" w:type="dxa"/>
                        <w:right w:w="0" w:type="dxa"/>
                      </w:tblCellMar>
                    </w:tblPrEx>
                    <w:trPr>
                      <w:tblCellSpacing w:w="0" w:type="dxa"/>
                    </w:trPr>
                    <w:tc>
                      <w:tcPr>
                        <w:tcW w:w="15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FFFFFF"/>
                            <w:sz w:val="18"/>
                            <w:szCs w:val="18"/>
                            <w:u w:val="none"/>
                          </w:rPr>
                        </w:pPr>
                        <w:r>
                          <w:rPr>
                            <w:rFonts w:hint="eastAsia" w:ascii="宋体" w:hAnsi="宋体" w:eastAsia="宋体" w:cs="宋体"/>
                            <w:i w:val="0"/>
                            <w:color w:val="FFFFFF"/>
                            <w:kern w:val="0"/>
                            <w:sz w:val="18"/>
                            <w:szCs w:val="18"/>
                            <w:u w:val="none"/>
                            <w:bdr w:val="none" w:color="auto" w:sz="0" w:space="0"/>
                            <w:lang w:val="en-US" w:eastAsia="zh-CN" w:bidi="ar"/>
                          </w:rPr>
                          <w:t>生物学</w:t>
                        </w:r>
                      </w:p>
                    </w:tc>
                  </w:tr>
                </w:tbl>
                <w:p>
                  <w:pPr>
                    <w:spacing w:line="330" w:lineRule="atLeast"/>
                    <w:jc w:val="left"/>
                  </w:pPr>
                </w:p>
              </w:tc>
              <w:tc>
                <w:tcPr>
                  <w:tcW w:w="1500" w:type="dxa"/>
                  <w:shd w:val="clear"/>
                  <w:vAlign w:val="center"/>
                </w:tcPr>
                <w:tbl>
                  <w:tblPr>
                    <w:tblW w:w="1500" w:type="dxa"/>
                    <w:tblCellSpacing w:w="0" w:type="dxa"/>
                    <w:tblInd w:w="0" w:type="dxa"/>
                    <w:shd w:val="clear"/>
                    <w:tblLayout w:type="autofit"/>
                    <w:tblCellMar>
                      <w:top w:w="0" w:type="dxa"/>
                      <w:left w:w="0" w:type="dxa"/>
                      <w:bottom w:w="0" w:type="dxa"/>
                      <w:right w:w="0" w:type="dxa"/>
                    </w:tblCellMar>
                  </w:tblPr>
                  <w:tblGrid>
                    <w:gridCol w:w="1500"/>
                  </w:tblGrid>
                  <w:tr>
                    <w:tblPrEx>
                      <w:shd w:val="clear"/>
                    </w:tblPrEx>
                    <w:trPr>
                      <w:tblCellSpacing w:w="0" w:type="dxa"/>
                    </w:trPr>
                    <w:tc>
                      <w:tcPr>
                        <w:tcW w:w="15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生态学</w:t>
                        </w:r>
                      </w:p>
                    </w:tc>
                  </w:tr>
                </w:tbl>
                <w:p>
                  <w:pPr>
                    <w:spacing w:line="330" w:lineRule="atLeast"/>
                    <w:jc w:val="left"/>
                  </w:pPr>
                </w:p>
              </w:tc>
              <w:tc>
                <w:tcPr>
                  <w:tcW w:w="1500" w:type="dxa"/>
                  <w:shd w:val="clear"/>
                  <w:vAlign w:val="center"/>
                </w:tcPr>
                <w:tbl>
                  <w:tblPr>
                    <w:tblW w:w="1500" w:type="dxa"/>
                    <w:tblCellSpacing w:w="0" w:type="dxa"/>
                    <w:tblInd w:w="0" w:type="dxa"/>
                    <w:shd w:val="clear"/>
                    <w:tblLayout w:type="autofit"/>
                    <w:tblCellMar>
                      <w:top w:w="0" w:type="dxa"/>
                      <w:left w:w="0" w:type="dxa"/>
                      <w:bottom w:w="0" w:type="dxa"/>
                      <w:right w:w="0" w:type="dxa"/>
                    </w:tblCellMar>
                  </w:tblPr>
                  <w:tblGrid>
                    <w:gridCol w:w="1500"/>
                  </w:tblGrid>
                  <w:tr>
                    <w:tblPrEx>
                      <w:shd w:val="clear"/>
                      <w:tblCellMar>
                        <w:top w:w="0" w:type="dxa"/>
                        <w:left w:w="0" w:type="dxa"/>
                        <w:bottom w:w="0" w:type="dxa"/>
                        <w:right w:w="0" w:type="dxa"/>
                      </w:tblCellMar>
                    </w:tblPrEx>
                    <w:trPr>
                      <w:tblCellSpacing w:w="0" w:type="dxa"/>
                    </w:trPr>
                    <w:tc>
                      <w:tcPr>
                        <w:tcW w:w="1500" w:type="dxa"/>
                        <w:shd w:val="clear"/>
                        <w:tcMar>
                          <w:left w:w="300" w:type="dxa"/>
                        </w:tcMar>
                        <w:vAlign w:val="center"/>
                      </w:tcPr>
                      <w:p>
                        <w:pPr>
                          <w:keepNext w:val="0"/>
                          <w:keepLines w:val="0"/>
                          <w:widowControl/>
                          <w:suppressLineNumbers w:val="0"/>
                          <w:spacing w:line="330" w:lineRule="atLeast"/>
                          <w:jc w:val="left"/>
                          <w:rPr>
                            <w:rFonts w:hint="eastAsia" w:ascii="宋体" w:hAnsi="宋体" w:eastAsia="宋体" w:cs="宋体"/>
                            <w:i w:val="0"/>
                            <w:color w:val="838282"/>
                            <w:sz w:val="18"/>
                            <w:szCs w:val="18"/>
                            <w:u w:val="none"/>
                          </w:rPr>
                        </w:pPr>
                        <w:r>
                          <w:rPr>
                            <w:rFonts w:hint="eastAsia" w:ascii="宋体" w:hAnsi="宋体" w:eastAsia="宋体" w:cs="宋体"/>
                            <w:i w:val="0"/>
                            <w:color w:val="838282"/>
                            <w:kern w:val="0"/>
                            <w:sz w:val="18"/>
                            <w:szCs w:val="18"/>
                            <w:u w:val="none"/>
                            <w:bdr w:val="none" w:color="auto" w:sz="0" w:space="0"/>
                            <w:lang w:val="en-US" w:eastAsia="zh-CN" w:bidi="ar"/>
                          </w:rPr>
                          <w:t>生物与医药</w:t>
                        </w:r>
                      </w:p>
                    </w:tc>
                  </w:tr>
                </w:tbl>
                <w:p>
                  <w:pPr>
                    <w:spacing w:line="330" w:lineRule="atLeast"/>
                    <w:jc w:val="left"/>
                  </w:pPr>
                </w:p>
              </w:tc>
              <w:tc>
                <w:tcPr>
                  <w:tcW w:w="150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jc w:val="left"/>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top"/>
          </w:tcPr>
          <w:tbl>
            <w:tblPr>
              <w:tblW w:w="11100" w:type="dxa"/>
              <w:jc w:val="center"/>
              <w:tblCellSpacing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rHeight w:val="151" w:hRule="atLeast"/>
                <w:tblCellSpacing w:w="0" w:type="dxa"/>
                <w:jc w:val="center"/>
              </w:trPr>
              <w:tc>
                <w:tcPr>
                  <w:tcW w:w="0" w:type="auto"/>
                  <w:shd w:val="clear"/>
                  <w:vAlign w:val="center"/>
                </w:tcPr>
                <w:p>
                  <w:pPr>
                    <w:rPr>
                      <w:rFonts w:hint="eastAsia" w:ascii="宋体"/>
                      <w:sz w:val="24"/>
                      <w:szCs w:val="24"/>
                    </w:rPr>
                  </w:pPr>
                </w:p>
              </w:tc>
            </w:tr>
            <w:tr>
              <w:tblPrEx>
                <w:shd w:val="clear"/>
              </w:tblPrEx>
              <w:trPr>
                <w:tblCellSpacing w:w="0" w:type="dxa"/>
                <w:jc w:val="center"/>
              </w:trPr>
              <w:tc>
                <w:tcPr>
                  <w:tcW w:w="0" w:type="auto"/>
                  <w:shd w:val="clear"/>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学科专业名称：生物学</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071000）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tc>
            </w:tr>
            <w:tr>
              <w:tblPrEx>
                <w:shd w:val="clear"/>
                <w:tblCellMar>
                  <w:top w:w="0" w:type="dxa"/>
                  <w:left w:w="0" w:type="dxa"/>
                  <w:bottom w:w="0" w:type="dxa"/>
                  <w:right w:w="0" w:type="dxa"/>
                </w:tblCellMar>
              </w:tblPrEx>
              <w:trPr>
                <w:tblCellSpacing w:w="0" w:type="dxa"/>
                <w:jc w:val="center"/>
              </w:trPr>
              <w:tc>
                <w:tcPr>
                  <w:tcW w:w="0" w:type="auto"/>
                  <w:shd w:val="clear"/>
                  <w:tcMar>
                    <w:top w:w="225" w:type="dxa"/>
                    <w:left w:w="75" w:type="dxa"/>
                    <w:bottom w:w="225" w:type="dxa"/>
                    <w:right w:w="75" w:type="dxa"/>
                  </w:tcMar>
                  <w:vAlign w:val="center"/>
                </w:tcPr>
                <w:p>
                  <w:pPr>
                    <w:keepNext w:val="0"/>
                    <w:keepLines w:val="0"/>
                    <w:widowControl/>
                    <w:suppressLineNumbers w:val="0"/>
                    <w:spacing w:line="330" w:lineRule="atLeast"/>
                    <w:jc w:val="left"/>
                    <w:rPr>
                      <w:rFonts w:hint="eastAsia" w:ascii="宋体" w:hAnsi="宋体" w:eastAsia="宋体" w:cs="宋体"/>
                      <w:i w:val="0"/>
                      <w:color w:val="575757"/>
                      <w:sz w:val="18"/>
                      <w:szCs w:val="18"/>
                      <w:u w:val="none"/>
                    </w:rPr>
                  </w:pPr>
                  <w:r>
                    <w:rPr>
                      <w:rStyle w:val="4"/>
                      <w:rFonts w:hint="eastAsia" w:ascii="宋体" w:hAnsi="宋体" w:eastAsia="宋体" w:cs="宋体"/>
                      <w:i w:val="0"/>
                      <w:color w:val="575757"/>
                      <w:kern w:val="0"/>
                      <w:sz w:val="18"/>
                      <w:szCs w:val="18"/>
                      <w:u w:val="none"/>
                      <w:bdr w:val="none" w:color="auto" w:sz="0" w:space="0"/>
                      <w:lang w:val="en-US" w:eastAsia="zh-CN" w:bidi="ar"/>
                    </w:rPr>
                    <w:t>一、报考说明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本学科接收推免生和统考生，招收生物科学、生物技术、计算机、化学、物理等相关专业的应届本科毕业生和具有学士学位的往届本科生。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二、专业介绍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生物学专业培养综合素质高，具有生物学坚实的理论基础、系统的专业知识和熟练的实验技能，了解生物学发展的前沿和动态，具有原始创新意识和能力，能在本学科及相关学科领域独立开展科研、教学、开发等工作的高层次专门人才。主要涵盖以下二级学科专业及研究方向：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1、微生物学：主要研究方向包括微生物生理化学、微生物遗传及生物技术等，研究领域涉及病原菌致病机理、传染病诊断技术、药物筛选及微生物资源利用等。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2、神经生物学：主要研究方向包括细胞与分子神经生物学、感觉系统神经生物学、神经药理学、神经心理学与认知神经生物学、发育神经生物学、临床神经生物学等。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3、遗传学：主要研究方向包括与肿瘤、生殖、发育和植物抗逆等相关的遗传学、表观遗传学和基因组学等。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4、细胞生物学：主要研究方向涵盖了细胞生物学学科的多个方面，包括细胞周期和细胞凋亡、肿瘤细胞生物学、细胞免疫及病理机制、细胞遗传学、干细胞化学生物学、细胞工程和药物运输等。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5、生物化学与分子生物学：主要研究方向包括蛋白质生物化学、植物分子生物学、基因工程与生物技术、医学分子生物学、基因组学、蛋白质工程、环境基因组学、系统生物学等。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6、生物物理学：主要研究方向包括感觉系统生物物理学、分子与细胞生物物理学、认知生物物理学和神经心理学、环境生物物理学、生物光电子学等。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7、结构生物学：主要研究方向包括生物大分子晶体学、核磁共振波谱学、冷冻电镜结构生物学、计算生物学方法与技术、结构基因组学、生物大分子结构与功能等。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8、生物信息学：主要研究方向包括生物大分子的计算机模拟与分子设计、生物信息获取、存储、分析与利用相关技术、统计学与生物信息学、系统生物学与合成生物学等。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9、生物材料学：主要研究方向包括纳米生物材料、纳米药物研发和药物输送系统、纳米材料特殊生物学功能、可降解生物材料等。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生物学专业硕士研究生毕业的主要去向是进入国内外高等院校、科研院所继续深造，部分进入科研、教育单位和相关行业高新技术企业工作。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三、研究方向级初试科目</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3053"/>
                    <w:gridCol w:w="5103"/>
                  </w:tblGrid>
                  <w:tr>
                    <w:tblPrEx>
                      <w:tblCellMar>
                        <w:top w:w="0" w:type="dxa"/>
                        <w:left w:w="0" w:type="dxa"/>
                        <w:bottom w:w="0" w:type="dxa"/>
                        <w:right w:w="0" w:type="dxa"/>
                      </w:tblCellMar>
                    </w:tblPrEx>
                    <w:trPr>
                      <w:tblCellSpacing w:w="7" w:type="dxa"/>
                    </w:trPr>
                    <w:tc>
                      <w:tcPr>
                        <w:tcW w:w="18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31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1850" w:type="pct"/>
                        <w:shd w:val="clear" w:color="auto" w:fill="EEF8FD"/>
                        <w:tcMar>
                          <w:top w:w="225" w:type="dxa"/>
                          <w:left w:w="75" w:type="dxa"/>
                          <w:bottom w:w="225" w:type="dxa"/>
                          <w:right w:w="75"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575757"/>
                            <w:sz w:val="18"/>
                            <w:szCs w:val="18"/>
                            <w:u w:val="none"/>
                          </w:rPr>
                        </w:pPr>
                        <w:r>
                          <w:rPr>
                            <w:rFonts w:hint="eastAsia" w:ascii="宋体" w:hAnsi="宋体" w:eastAsia="宋体" w:cs="宋体"/>
                            <w:i w:val="0"/>
                            <w:color w:val="575757"/>
                            <w:kern w:val="0"/>
                            <w:sz w:val="18"/>
                            <w:szCs w:val="18"/>
                            <w:u w:val="none"/>
                            <w:bdr w:val="none" w:color="auto" w:sz="0" w:space="0"/>
                            <w:lang w:val="en-US" w:eastAsia="zh-CN" w:bidi="ar"/>
                          </w:rPr>
                          <w:t>1、微生物学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2、神经生物学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3、遗传学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4、细胞生物学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5、生物化学与分子生物学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6、生物物理学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7、结构生物学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8、生物信息学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9、生物材料学</w:t>
                        </w:r>
                      </w:p>
                    </w:tc>
                    <w:tc>
                      <w:tcPr>
                        <w:tcW w:w="3100" w:type="pct"/>
                        <w:shd w:val="clear" w:color="auto" w:fill="EEF8FD"/>
                        <w:tcMar>
                          <w:top w:w="225" w:type="dxa"/>
                          <w:left w:w="75" w:type="dxa"/>
                          <w:bottom w:w="225" w:type="dxa"/>
                          <w:right w:w="75"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575757"/>
                            <w:sz w:val="18"/>
                            <w:szCs w:val="18"/>
                            <w:u w:val="none"/>
                          </w:rPr>
                        </w:pPr>
                        <w:r>
                          <w:rPr>
                            <w:rFonts w:hint="eastAsia" w:ascii="宋体" w:hAnsi="宋体" w:eastAsia="宋体" w:cs="宋体"/>
                            <w:i w:val="0"/>
                            <w:color w:val="575757"/>
                            <w:kern w:val="0"/>
                            <w:sz w:val="18"/>
                            <w:szCs w:val="18"/>
                            <w:u w:val="none"/>
                            <w:bdr w:val="none" w:color="auto" w:sz="0" w:space="0"/>
                            <w:lang w:val="en-US" w:eastAsia="zh-CN" w:bidi="ar"/>
                          </w:rPr>
                          <w:t>第一组：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101思想政治理论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201英语一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618生理学或619生物化学与分子生物学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841细胞生物学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第二组：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101思想政治理论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201英语一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617普通物理A</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828量子力学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第三组：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101思想政治理论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201英语一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621物理化学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846综合化学</w:t>
                        </w:r>
                      </w:p>
                    </w:tc>
                  </w:tr>
                </w:tbl>
                <w:p>
                  <w:pPr>
                    <w:keepNext w:val="0"/>
                    <w:keepLines w:val="0"/>
                    <w:widowControl/>
                    <w:suppressLineNumbers w:val="0"/>
                    <w:jc w:val="left"/>
                  </w:pPr>
                  <w:r>
                    <w:rPr>
                      <w:rStyle w:val="4"/>
                      <w:rFonts w:hint="eastAsia" w:ascii="宋体" w:hAnsi="宋体" w:eastAsia="宋体" w:cs="宋体"/>
                      <w:i w:val="0"/>
                      <w:color w:val="575757"/>
                      <w:kern w:val="0"/>
                      <w:sz w:val="18"/>
                      <w:szCs w:val="18"/>
                      <w:u w:val="none"/>
                      <w:bdr w:val="none" w:color="auto" w:sz="0" w:space="0"/>
                      <w:lang w:val="en-US" w:eastAsia="zh-CN" w:bidi="ar"/>
                    </w:rPr>
                    <w:t>四、复试形式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机考+面试。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五、复试内容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复试（机考）为专业知识综合考试，涵盖所有本科基础生物学实验教学内容。其中1/3为英文试题。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六、复试成绩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满分100分。机考满分150分，面试满分100分，复试成绩=（机考成绩+面试成绩）÷2.5。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七、最终成绩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满分100分。初试成绩不计政治，复试成绩占比5/13。即：最终成绩=（初试成绩【不计政治】÷4×8+复试成绩×5）÷13。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八、录取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按最终成绩由高到低排序，提出拟录取名单报批。为保证招生质量，报批人数可小于招生计划。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九、调剂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本专业在生源不足的情况下接受调剂。调剂信息将于复试阶段在中国科大研究生招生在线网站（http://yz.ustc.edu.cn）发布。 </w:t>
                  </w:r>
                  <w:r>
                    <w:rPr>
                      <w:rFonts w:hint="eastAsia" w:ascii="宋体" w:hAnsi="宋体" w:eastAsia="宋体" w:cs="宋体"/>
                      <w:i w:val="0"/>
                      <w:color w:val="575757"/>
                      <w:kern w:val="0"/>
                      <w:sz w:val="18"/>
                      <w:szCs w:val="18"/>
                      <w:u w:val="none"/>
                      <w:bdr w:val="none" w:color="auto" w:sz="0" w:space="0"/>
                      <w:lang w:val="en-US" w:eastAsia="zh-CN" w:bidi="ar"/>
                    </w:rPr>
                    <w:br w:type="textWrapping"/>
                  </w:r>
                  <w:r>
                    <w:rPr>
                      <w:rStyle w:val="4"/>
                      <w:rFonts w:hint="eastAsia" w:ascii="宋体" w:hAnsi="宋体" w:eastAsia="宋体" w:cs="宋体"/>
                      <w:i w:val="0"/>
                      <w:color w:val="575757"/>
                      <w:kern w:val="0"/>
                      <w:sz w:val="18"/>
                      <w:szCs w:val="18"/>
                      <w:u w:val="none"/>
                      <w:bdr w:val="none" w:color="auto" w:sz="0" w:space="0"/>
                      <w:lang w:val="en-US" w:eastAsia="zh-CN" w:bidi="ar"/>
                    </w:rPr>
                    <w:t>十、学费标准 </w:t>
                  </w:r>
                  <w:r>
                    <w:rPr>
                      <w:rFonts w:hint="eastAsia" w:ascii="宋体" w:hAnsi="宋体" w:eastAsia="宋体" w:cs="宋体"/>
                      <w:i w:val="0"/>
                      <w:color w:val="575757"/>
                      <w:kern w:val="0"/>
                      <w:sz w:val="18"/>
                      <w:szCs w:val="18"/>
                      <w:u w:val="none"/>
                      <w:bdr w:val="none" w:color="auto" w:sz="0" w:space="0"/>
                      <w:lang w:val="en-US" w:eastAsia="zh-CN" w:bidi="ar"/>
                    </w:rPr>
                    <w:br w:type="textWrapping"/>
                  </w:r>
                  <w:r>
                    <w:rPr>
                      <w:rFonts w:hint="eastAsia" w:ascii="宋体" w:hAnsi="宋体" w:eastAsia="宋体" w:cs="宋体"/>
                      <w:i w:val="0"/>
                      <w:color w:val="575757"/>
                      <w:kern w:val="0"/>
                      <w:sz w:val="18"/>
                      <w:szCs w:val="18"/>
                      <w:u w:val="none"/>
                      <w:bdr w:val="none" w:color="auto" w:sz="0" w:space="0"/>
                      <w:lang w:val="en-US" w:eastAsia="zh-CN" w:bidi="ar"/>
                    </w:rPr>
                    <w:t>8000元/学年。</w:t>
                  </w:r>
                </w:p>
              </w:tc>
            </w:tr>
          </w:tbl>
          <w:p>
            <w:pPr>
              <w:jc w:val="center"/>
              <w:rPr>
                <w:rFonts w:hint="eastAsia" w:ascii="微软雅黑" w:hAnsi="微软雅黑" w:eastAsia="微软雅黑" w:cs="微软雅黑"/>
                <w:i w:val="0"/>
                <w:caps w:val="0"/>
                <w:color w:val="000000"/>
                <w:spacing w:val="0"/>
                <w:sz w:val="27"/>
                <w:szCs w:val="27"/>
              </w:rPr>
            </w:pP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学科专业名称：生态学</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071300）</w:t>
                  </w:r>
                </w:p>
              </w:tc>
            </w:tr>
            <w:tr>
              <w:tblPrEx>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本学科接收推免生和统考生，招收生态学、生物科学、生物技术、计算机、化学、物理等相关专业的应届本科毕业生和具有学士学位的往届本科生。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学科培养德智体全面发展，具有献身科学的敬业精神，掌握扎实的生态学理论基础，掌握野外研究工作的方法和技能，了解生态学研究的前沿和动态，具备在本学科及相关学科领域独立开展科学研究的能力，并能够适应我国经济、科技和教育发展需要的生态学领域研究、教学和管理的高层次人才。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1、分子生态学：利用分子生物学、生物化学和微生物学等手段对植物抗逆、环境微生物的分布和生长等进行研究。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2、水鸟和湿地生态学：利用水鸟对湿地环境的指示作用，研究长江中下游湿地的生态过程和生物多样性的形成机制，探索该流域可持续发展的理论和对策。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3、水体修复生态学：依靠诸多相关学科，发展水环境生态修复的新理论、新工艺、新技术，解决水环境生态修复的理论和技术问题。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4、极地生态地质学：应用生态学、地质地球化学等学科的基本原理和方法，研究代表性区域（如南极、北极）的自然环境变化、生态系统的演变、物质的环境地球化学循环及其生态效应等。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5、生态工程与技术：以生态学、系统科学及计算机科学为基础，开展跨学科综合研究，探讨生态评价、生态规划、生态管理的理论、系统方法、集成技术及实现城乡复合生态系统可持续发展的对策与决策支持手段。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生态学专业硕士研究生毕业的主要去向是进入国内外高等院校、科研院所继续深造，部分进入科研、教育单位和相关行业工作。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三、研究方向级初试科目</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4098"/>
              <w:gridCol w:w="6852"/>
            </w:tblGrid>
            <w:tr>
              <w:tblPrEx>
                <w:shd w:val="clear" w:color="auto" w:fill="CCCCCC"/>
                <w:tblCellMar>
                  <w:top w:w="0" w:type="dxa"/>
                  <w:left w:w="0" w:type="dxa"/>
                  <w:bottom w:w="0" w:type="dxa"/>
                  <w:right w:w="0" w:type="dxa"/>
                </w:tblCellMar>
              </w:tblPrEx>
              <w:trPr>
                <w:tblCellSpacing w:w="7" w:type="dxa"/>
              </w:trPr>
              <w:tc>
                <w:tcPr>
                  <w:tcW w:w="18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31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1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1、分子生态学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2、水鸟和湿地生态学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3、水体修复生态学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4、极地生态地质学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5、生态工程与技术</w:t>
                  </w:r>
                </w:p>
              </w:tc>
              <w:tc>
                <w:tcPr>
                  <w:tcW w:w="31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第一组：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619生物化学与分子生物学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864生态学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第二组：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302数学二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835污染控制工程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第三组：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601高等数学B</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806地质学原理或820环境科学基础</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机考+面试。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复试（机考）为专业知识综合考试，涵盖所有本科基础生物学实验教学内容。其中1/3为英文试题。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满分100分。机考满分150分，面试满分100分，复试成绩=（机考成绩+面试成绩）÷2.5。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满分100分。初试成绩不计政治，复试成绩占比5/13。即：最终成绩=（初试成绩【不计政治】÷4×8+复试成绩×5）÷13。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p>
      <w:pPr>
        <w:rPr>
          <w:rFonts w:hint="eastAsia"/>
        </w:rPr>
      </w:pPr>
    </w:p>
    <w:p>
      <w:pPr>
        <w:rPr>
          <w:rFonts w:hint="eastAsia"/>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学科专业名称：生物与医药</w:t>
                  </w:r>
                  <w:r>
                    <w:rPr>
                      <w:rFonts w:hint="eastAsia" w:ascii="宋体" w:hAnsi="宋体" w:eastAsia="宋体" w:cs="宋体"/>
                      <w:b/>
                      <w:i w:val="0"/>
                      <w:color w:val="003399"/>
                      <w:kern w:val="0"/>
                      <w:sz w:val="18"/>
                      <w:szCs w:val="18"/>
                      <w:u w:val="none"/>
                      <w:bdr w:val="none" w:color="auto" w:sz="0" w:space="0"/>
                      <w:lang w:val="en-US" w:eastAsia="zh-CN" w:bidi="ar"/>
                    </w:rPr>
                    <w:t>（专业代码</w:t>
                  </w:r>
                  <w:r>
                    <w:rPr>
                      <w:rStyle w:val="4"/>
                      <w:rFonts w:hint="eastAsia" w:ascii="宋体" w:hAnsi="宋体" w:eastAsia="宋体" w:cs="宋体"/>
                      <w:i w:val="0"/>
                      <w:color w:val="003399"/>
                      <w:kern w:val="0"/>
                      <w:sz w:val="18"/>
                      <w:szCs w:val="18"/>
                      <w:u w:val="none"/>
                      <w:bdr w:val="none" w:color="auto" w:sz="0" w:space="0"/>
                      <w:lang w:val="en-US" w:eastAsia="zh-CN" w:bidi="ar"/>
                    </w:rPr>
                    <w:t>086000）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本学科接收推免生和统考生，招收生物科学、生物技术等相关专业的应届本科毕业生和具有学士学位的往届本科生。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学科培养德智体全面发展、具有广博的现代生物学专业知识，熟练掌握现代生物与医药工程技术的方法与手段，并具有创新意识和良好的科学素养，具备独立担负工程技术的能力，毕业后能够从事生物制药、医用生物技术等方面的新药研究、产品开发、生产工艺和药物筛选、鉴定等工作的高水平的人才。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本专业毕业生的主要去向是进入企业、或高等院校与科研院所从事生物医药研发、教学和科研工作，或到国内外高校和科研院所继续深造。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三、研究方向级初试科目</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4098"/>
              <w:gridCol w:w="6852"/>
            </w:tblGrid>
            <w:tr>
              <w:tblPrEx>
                <w:shd w:val="clear" w:color="auto" w:fill="CCCCCC"/>
                <w:tblCellMar>
                  <w:top w:w="0" w:type="dxa"/>
                  <w:left w:w="0" w:type="dxa"/>
                  <w:bottom w:w="0" w:type="dxa"/>
                  <w:right w:w="0" w:type="dxa"/>
                </w:tblCellMar>
              </w:tblPrEx>
              <w:trPr>
                <w:tblCellSpacing w:w="7" w:type="dxa"/>
              </w:trPr>
              <w:tc>
                <w:tcPr>
                  <w:tcW w:w="18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31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18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1、生物工程</w:t>
                  </w:r>
                </w:p>
              </w:tc>
              <w:tc>
                <w:tcPr>
                  <w:tcW w:w="31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338生物化学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841细胞生物学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机考+面试。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复试（机考）为专业知识综合考试，涵盖所有本科基础生物学实验教学内容。其中1/3为英文试题。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满分100分。机考满分150分，面试满分100分，复试成绩=（机考成绩+面试成绩）÷2.5。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满分100分。初试成绩不计政治，复试成绩占比5/13。即：最终成绩=（初试成绩【不计政治】÷4×8+复试成绩×5）÷13。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4314B"/>
    <w:rsid w:val="1344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2019-12-03T09:26:00Z</dcterms:created>
  <dc:creator>Administrator</dc:creator>
  <cp:lastModifiedBy>Administrator</cp:lastModifiedBy>
  <dcterms:modified xsi:type="dcterms:W3CDTF">2019-12-03T09:27:48Z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