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生物科学与医学工程学院</w:t>
      </w:r>
    </w:p>
    <w:bookmarkEnd w:id="0"/>
    <w:p>
      <w:pPr>
        <w:rPr>
          <w:rFonts w:hint="eastAsia"/>
        </w:rPr>
      </w:pPr>
    </w:p>
    <w:tbl>
      <w:tblPr>
        <w:tblW w:w="13950" w:type="dxa"/>
        <w:jc w:val="center"/>
        <w:tblCellSpacing w:w="0" w:type="dxa"/>
        <w:shd w:val="clear"/>
        <w:tblLayout w:type="autofit"/>
        <w:tblCellMar>
          <w:top w:w="0" w:type="dxa"/>
          <w:left w:w="0" w:type="dxa"/>
          <w:bottom w:w="0" w:type="dxa"/>
          <w:right w:w="0" w:type="dxa"/>
        </w:tblCellMar>
      </w:tblPr>
      <w:tblGrid>
        <w:gridCol w:w="13950"/>
      </w:tblGrid>
      <w:tr>
        <w:tblPrEx>
          <w:shd w:val="clear"/>
        </w:tblPrEx>
        <w:trPr>
          <w:trHeight w:val="2776" w:hRule="atLeast"/>
          <w:tblCellSpacing w:w="0" w:type="dxa"/>
          <w:jc w:val="center"/>
        </w:trPr>
        <w:tc>
          <w:tcPr>
            <w:tcW w:w="0" w:type="auto"/>
            <w:shd w:val="clear"/>
            <w:vAlign w:val="top"/>
          </w:tcPr>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blCellSpacing w:w="15" w:type="dxa"/>
                <w:jc w:val="center"/>
              </w:trPr>
              <w:tc>
                <w:tcPr>
                  <w:tcW w:w="0" w:type="auto"/>
                  <w:shd w:val="clear"/>
                  <w:vAlign w:val="top"/>
                </w:tcPr>
                <w:tbl>
                  <w:tblPr>
                    <w:tblW w:w="5000" w:type="pct"/>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870"/>
                    <w:gridCol w:w="585"/>
                    <w:gridCol w:w="8702"/>
                    <w:gridCol w:w="68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eastAsia"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考试科目</w:t>
                        </w:r>
                      </w:p>
                    </w:tc>
                    <w:tc>
                      <w:tcPr>
                        <w:tcW w:w="0" w:type="auto"/>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b/>
                            <w:color w:val="FF0000"/>
                            <w:kern w:val="0"/>
                            <w:sz w:val="20"/>
                            <w:szCs w:val="20"/>
                            <w:bdr w:val="none" w:color="auto" w:sz="0" w:space="0"/>
                            <w:lang w:val="en-US" w:eastAsia="zh-CN" w:bidi="ar"/>
                          </w:rPr>
                          <w:t>011 生物科学与医学工程学院(83792749)</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040100 教育学</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科学教育学(全日制)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高等教育学(全日制)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教育技术学(全日制)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职业技术教育学(全日制)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课程与教学论（物理方向）(全日制)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研究生教育学(全日制)</w:t>
                        </w:r>
                      </w:p>
                    </w:tc>
                    <w:tc>
                      <w:tcPr>
                        <w:tcW w:w="0" w:type="auto"/>
                        <w:vMerge w:val="restart"/>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55 </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英语一③311 教育学专业基础综合④-- 无</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该人数为学院拟考试招生人数，不含拟招收推免生人数。最终考试招生人数根据教育部下达计划及实际录取推免人数进行相应的增减。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复试科目:5g8 计算机应用技术基础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 xml:space="preserve">045117 科学与技术教育(专业学位)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科学教育与技术评测(全日制)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科学教育心理与行为评测(全日制)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英语一③333 教育综合④996 心理与教育研究方法</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授予教育硕士专业学位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复试科目:5g8 计算机应用技术基础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 xml:space="preserve">045120 职业技术教育(专业学位)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加工制造(全日制)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医药卫生(全日制)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英语一③333 教育综合④996 心理与教育研究方法</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1.应具有与所报考研究方向相应的专业背景 2.授予教育硕士专业学位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复试科目:5g8 计算机应用技术基础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083100 生物医学工程</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生物信息技术(全日制)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医学图像与医学电子学(全日制)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生物医学纳米技术(全日制)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生物传感与生物电子学(全日制)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生物医学材料与器件(全日制)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制药工程 (全日制)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07 医学信息学及工程 (全日制)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08 生物力学 (全日制)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09 生物光子技术(全日制)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10 神经信息工程(全日制)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11 学习科学(全日制)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数学一④908 有机化学 或 937 生物信号处理 或 938 普通生物学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报考02方向的必须选考937、559；</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复试科目:558 生物化学 或 559 微机在生物医学中的应用 或 583 专业综合测试2 或 5h1 专业综合测试1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085400 电子信息(专业学位)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生物信息技术(全日制)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医学图像与医学电子学(全日制)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医学信息学及工程(全日制)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生物传感与生物电子学(全日制)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生物光子技术(全日制)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神经信息工程(全日制)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07 脑科学与学习科学(全日制)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数学一④937 生物信号处理</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复试科目:559 微机在生物医学中的应用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086000 生物与医药(专业学位)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生物工程与技术(全日制)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制药工程(全日制)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生物医学材料与纳米技术(全日制)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生物检测与传感(全日制)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组织工程与再生医学(全日制)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英语一③338 生物化学④908 有机化学 或 938 普通生物学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复试科目:523 专业综合测试 </w:t>
                        </w:r>
                      </w:p>
                    </w:tc>
                  </w:tr>
                </w:tbl>
                <w:p>
                  <w:pPr>
                    <w:spacing w:line="300" w:lineRule="atLeast"/>
                    <w:rPr>
                      <w:rFonts w:hint="default" w:ascii="Arial" w:hAnsi="Arial" w:cs="Arial"/>
                      <w:sz w:val="18"/>
                      <w:szCs w:val="18"/>
                    </w:rPr>
                  </w:pPr>
                </w:p>
              </w:tc>
            </w:tr>
          </w:tbl>
          <w:p>
            <w:pPr>
              <w:spacing w:line="270" w:lineRule="atLeast"/>
              <w:rPr>
                <w:rFonts w:hint="default" w:ascii="Arial" w:hAnsi="Arial" w:cs="Arial"/>
                <w:sz w:val="18"/>
                <w:szCs w:val="18"/>
              </w:rPr>
            </w:pPr>
          </w:p>
        </w:tc>
      </w:tr>
      <w:tr>
        <w:tblPrEx>
          <w:tblCellMar>
            <w:top w:w="0" w:type="dxa"/>
            <w:left w:w="0" w:type="dxa"/>
            <w:bottom w:w="0" w:type="dxa"/>
            <w:right w:w="0" w:type="dxa"/>
          </w:tblCellMar>
        </w:tblPrEx>
        <w:trPr>
          <w:trHeight w:val="480" w:hRule="atLeast"/>
          <w:tblCellSpacing w:w="0" w:type="dxa"/>
          <w:jc w:val="center"/>
        </w:trPr>
        <w:tc>
          <w:tcPr>
            <w:tcW w:w="0" w:type="auto"/>
            <w:shd w:val="clear"/>
            <w:vAlign w:val="center"/>
          </w:tcPr>
          <w:tbl>
            <w:tblPr>
              <w:tblW w:w="5000" w:type="pct"/>
              <w:tblCellSpacing w:w="0" w:type="dxa"/>
              <w:tblInd w:w="0" w:type="dxa"/>
              <w:shd w:val="clear" w:color="auto" w:fill="E1E7FF"/>
              <w:tblLayout w:type="autofit"/>
              <w:tblCellMar>
                <w:top w:w="75" w:type="dxa"/>
                <w:left w:w="150" w:type="dxa"/>
                <w:bottom w:w="75" w:type="dxa"/>
                <w:right w:w="75" w:type="dxa"/>
              </w:tblCellMar>
            </w:tblPr>
            <w:tblGrid>
              <w:gridCol w:w="13950"/>
            </w:tblGrid>
            <w:tr>
              <w:tblPrEx>
                <w:tblCellMar>
                  <w:top w:w="75" w:type="dxa"/>
                  <w:left w:w="150" w:type="dxa"/>
                  <w:bottom w:w="75" w:type="dxa"/>
                  <w:right w:w="75" w:type="dxa"/>
                </w:tblCellMar>
              </w:tblPrEx>
              <w:trPr>
                <w:trHeight w:val="120"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导师信息(注:导师以姓氏拼音的首字母为序)</w:t>
                  </w:r>
                </w:p>
              </w:tc>
            </w:tr>
          </w:tbl>
          <w:p>
            <w:pPr>
              <w:rPr>
                <w:vanish/>
                <w:sz w:val="24"/>
                <w:szCs w:val="24"/>
              </w:rPr>
            </w:pPr>
          </w:p>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1393"/>
              <w:gridCol w:w="2787"/>
              <w:gridCol w:w="9755"/>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导师姓名</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040100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教育学</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柏毅,曹效英,陈华,崔军,耿有权,姜飞月,梅汉成,熊宏齐,张俊琴,张胤,张玉萍,郑家茂,朱明,左惟等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083100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生物医学工程</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韦钰,陆祖宏,顾宁,顾忠泽,孙啸,徐春祥,钱卫平,舒华忠,王雪梅,王进科,付德刚,肖忠党,陈扬,巴龙,刘全俊,张宇,夏强,张天柱,李志勇,孙清江,黄宁平,肖鹏峰,陈战,赵兴群,白云飞,张继中,朱纪军,吕华,徐丽娜,葛丽芹,汪丰,谢建明,迟慧梅,赵祥伟,罗守华,孙剑飞,蔡彦,陈强,陈怡,崔兴然,董健,葛芹玉,顾万君,韩晓锋,何农跃,何思渊,黄炎,吉民,姜晖,李敏俐,李艳,梁高林,林凤鸣,刘宏,刘宏德,卢晓林,马明,彭汉川,戎非,孙博,孙钰,陶纬国,涂景,王婷,王遵亮,吴富根,谢雪英,谢卓颖,熊非,徐华,杨芳,赵远锦,周光泉,周平,周昕,周雪锋等</w:t>
                  </w:r>
                </w:p>
              </w:tc>
            </w:tr>
          </w:tbl>
          <w:p>
            <w:pPr>
              <w:spacing w:line="300" w:lineRule="atLeast"/>
              <w:jc w:val="left"/>
              <w:rPr>
                <w:rFonts w:hint="default" w:ascii="Arial" w:hAnsi="Arial" w:cs="Arial"/>
                <w:vanish/>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8235" w:type="dxa"/>
            <w:shd w:val="clear"/>
            <w:vAlign w:val="top"/>
          </w:tcPr>
          <w:tbl>
            <w:tblPr>
              <w:tblW w:w="13920" w:type="dxa"/>
              <w:tblCellSpacing w:w="0" w:type="dxa"/>
              <w:tblInd w:w="0" w:type="dxa"/>
              <w:shd w:val="clear" w:color="auto" w:fill="E1E7FF"/>
              <w:tblLayout w:type="autofit"/>
              <w:tblCellMar>
                <w:top w:w="75" w:type="dxa"/>
                <w:left w:w="150" w:type="dxa"/>
                <w:bottom w:w="75" w:type="dxa"/>
                <w:right w:w="75" w:type="dxa"/>
              </w:tblCellMar>
            </w:tblPr>
            <w:tblGrid>
              <w:gridCol w:w="13920"/>
            </w:tblGrid>
            <w:tr>
              <w:tblPrEx>
                <w:tblCellMar>
                  <w:top w:w="75" w:type="dxa"/>
                  <w:left w:w="150" w:type="dxa"/>
                  <w:bottom w:w="75" w:type="dxa"/>
                  <w:right w:w="75" w:type="dxa"/>
                </w:tblCellMar>
              </w:tblPrEx>
              <w:trPr>
                <w:trHeight w:val="435"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参考书目</w:t>
                  </w:r>
                </w:p>
              </w:tc>
            </w:tr>
          </w:tbl>
          <w:p>
            <w:pPr>
              <w:spacing w:line="270" w:lineRule="atLeast"/>
              <w:rPr>
                <w:rFonts w:hint="default" w:ascii="Arial" w:hAnsi="Arial" w:cs="Arial"/>
                <w:sz w:val="18"/>
                <w:szCs w:val="18"/>
              </w:rPr>
            </w:pPr>
          </w:p>
        </w:tc>
      </w:tr>
      <w:tr>
        <w:tblPrEx>
          <w:tblCellMar>
            <w:top w:w="0" w:type="dxa"/>
            <w:left w:w="0" w:type="dxa"/>
            <w:bottom w:w="0" w:type="dxa"/>
            <w:right w:w="0" w:type="dxa"/>
          </w:tblCellMar>
        </w:tblPrEx>
        <w:trPr>
          <w:trHeight w:val="8760" w:hRule="atLeast"/>
          <w:tblCellSpacing w:w="0" w:type="dxa"/>
          <w:jc w:val="center"/>
        </w:trPr>
        <w:tc>
          <w:tcPr>
            <w:tcW w:w="0" w:type="auto"/>
            <w:shd w:val="clear"/>
            <w:vAlign w:val="top"/>
          </w:tcPr>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559"/>
              <w:gridCol w:w="969"/>
              <w:gridCol w:w="12407"/>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参考书目</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333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教育综合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当代教育学》袁振国主编，教育科学出版社；《当代教育心理学》刘儒德编，北京师范大学出版社；《教育心理学》（美）伍尔德克著，何右先等译，中国轻工业出版社。《发展心理学》林崇德主编，人民教育出版社。《现代心理与教育统计学》张厚粲，徐建平，北京师范大学出版社。《教育技术学》何克抗，李文光等编，北京师范大学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338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《生物化学第七版》查锡良主编，人民卫生出版社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color w:val="144263"/>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color w:val="144263"/>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color w:val="144263"/>
                      <w:sz w:val="20"/>
                      <w:szCs w:val="20"/>
                    </w:rPr>
                  </w:pP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有机化学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《基础有机化学》（第三版），邢其毅 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937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生物信号处理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 xml:space="preserve">《数字信号处理》陈后金；《数字信号处理》 程佩青；《离散时间信号处理》奥本海姆 </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普通生物学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《生命科学导论》第二版 张惟杰 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996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心理与教育研究方法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《心理与教育研究方法》董奇，北京师范大学出版社；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专业综合测试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不提供参考书目</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558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《生物化学》（上册）王镜岩、朱圣庚、徐长法主编，高等教育出版社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559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微机在生物医学中的应用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单片机原理及接口技术》第四版，李朝青编著，北京航空航天大学出版社2013年；《单片机应用系统设计—系统配置与接口技术》何立民编著，北京航空航天大学出版社1989；《新型单片机接口器件与技术》林凌等编著，西安电子科技大学出版社，2005；《MSP430单片机原理与应用—MSP430F5xx/6xx系列单片机入门、提高与开发》任保宏、徐科军编著，电子工业出版社2014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专业综合测试2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《普通心理学》彭聃龄主编，北京师范大学出版社；《神经生物学》于龙川主编，北京大学出版社2012年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5g8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计算机应用技术基础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《大学计算机基础》沈军等，高等教育出版社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5h1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专业综合测试1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《数据结构》严蔚敏，吴伟民　编著，清华大学出版社；《矩阵分析》蒋家尚，袁永新，陈静　编著，苏州大学出版社，2012.</w:t>
                  </w:r>
                </w:p>
              </w:tc>
            </w:tr>
          </w:tbl>
          <w:p>
            <w:pPr>
              <w:spacing w:line="300" w:lineRule="atLeast"/>
              <w:rPr>
                <w:rFonts w:hint="default" w:ascii="Arial" w:hAnsi="Arial" w:cs="Arial"/>
                <w:sz w:val="18"/>
                <w:szCs w:val="18"/>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F1F52"/>
    <w:rsid w:val="7D9F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23399"/>
      <w:u w:val="none"/>
    </w:rPr>
  </w:style>
  <w:style w:type="character" w:styleId="6">
    <w:name w:val="Hyperlink"/>
    <w:basedOn w:val="3"/>
    <w:uiPriority w:val="0"/>
    <w:rPr>
      <w:color w:val="22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2019-12-03T08:16:00Z</dcterms:created>
  <dc:creator>Administrator</dc:creator>
  <cp:lastModifiedBy>Administrator</cp:lastModifiedBy>
  <dcterms:modified xsi:type="dcterms:W3CDTF">2019-12-03T08:17:27Z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