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交通学院</w:t>
      </w:r>
    </w:p>
    <w:bookmarkEnd w:id="0"/>
    <w:p>
      <w:pPr>
        <w:rPr>
          <w:rFonts w:hint="eastAsia"/>
        </w:rPr>
      </w:pPr>
    </w:p>
    <w:tbl>
      <w:tblPr>
        <w:tblW w:w="13950" w:type="dxa"/>
        <w:jc w:val="center"/>
        <w:tblCellSpacing w:w="0" w:type="dxa"/>
        <w:shd w:val="clear"/>
        <w:tblLayout w:type="autofit"/>
        <w:tblCellMar>
          <w:top w:w="0" w:type="dxa"/>
          <w:left w:w="0" w:type="dxa"/>
          <w:bottom w:w="0" w:type="dxa"/>
          <w:right w:w="0" w:type="dxa"/>
        </w:tblCellMar>
      </w:tblPr>
      <w:tblGrid>
        <w:gridCol w:w="13950"/>
      </w:tblGrid>
      <w:tr>
        <w:tblPrEx>
          <w:tblCellMar>
            <w:top w:w="0" w:type="dxa"/>
            <w:left w:w="0" w:type="dxa"/>
            <w:bottom w:w="0" w:type="dxa"/>
            <w:right w:w="0" w:type="dxa"/>
          </w:tblCellMar>
        </w:tblPrEx>
        <w:trPr>
          <w:trHeight w:val="2776" w:hRule="atLeast"/>
          <w:tblCellSpacing w:w="0" w:type="dxa"/>
          <w:jc w:val="center"/>
        </w:trPr>
        <w:tc>
          <w:tcPr>
            <w:tcW w:w="0" w:type="auto"/>
            <w:shd w:val="clear"/>
            <w:vAlign w:val="top"/>
          </w:tcPr>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blCellSpacing w:w="15" w:type="dxa"/>
                <w:jc w:val="center"/>
              </w:trPr>
              <w:tc>
                <w:tcPr>
                  <w:tcW w:w="0" w:type="auto"/>
                  <w:shd w:val="clear"/>
                  <w:vAlign w:val="top"/>
                </w:tcPr>
                <w:tbl>
                  <w:tblPr>
                    <w:tblW w:w="5000" w:type="pct"/>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425"/>
                    <w:gridCol w:w="520"/>
                    <w:gridCol w:w="9300"/>
                    <w:gridCol w:w="6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eastAsia"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考试科目</w:t>
                        </w:r>
                      </w:p>
                    </w:tc>
                    <w:tc>
                      <w:tcPr>
                        <w:tcW w:w="0" w:type="auto"/>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b/>
                            <w:color w:val="FF0000"/>
                            <w:kern w:val="0"/>
                            <w:sz w:val="20"/>
                            <w:szCs w:val="20"/>
                            <w:bdr w:val="none" w:color="auto" w:sz="0" w:space="0"/>
                            <w:lang w:val="en-US" w:eastAsia="zh-CN" w:bidi="ar"/>
                          </w:rPr>
                          <w:t>021 交通学院(18905160681)</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081401 岩土工程</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土的基本特性与现代原位测试理论及技术(全日制)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特殊地基处理与环境岩土工程(全日制)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地下工程与桩基工程新技术(全日制)</w:t>
                        </w:r>
                      </w:p>
                    </w:tc>
                    <w:tc>
                      <w:tcPr>
                        <w:tcW w:w="0" w:type="auto"/>
                        <w:vMerge w:val="restart"/>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107 </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数学一④987 工程地质</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该人数为学院拟考试招生人数（含非全日制），不含拟招收推免生人数。最终考试招生人数根据教育部下达计划及实际录取推免人数进行相应的增减。 </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该学科是交通学院与土木学院共建学科</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复试科目:598 土力学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081406 桥梁与隧道工程</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桥梁结构设计理论与分析方法(全日制)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桥梁防灾减灾及安全性研究(全日制)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桥梁智能化、信息化与工业化(全日制)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数学一④956 结构设计原理</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该学科是交通学院与土木学院共建学科</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复试科目:598 土力学 或 599 桥梁工程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081600 测绘科学与技术</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大地测量学与工程测量(全日制)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摄影测量与遥感(全日制)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地图制图学与地理信息工程(全日制)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数学一④959 地理信息系统基础</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复试科目要求：01方向及02方向考5k1；03方向考588</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复试科目:588 程序设计基础与GIS软件开发 或 5k1 工程测量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082300 交通运输工程</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道路与铁道工程(全日制)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交通信息工程及控制(全日制)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交通运输规划与管理(全日制)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载运工具运用工程(全日制)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交通测绘与信息技术(全日制)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交通地下工程(全日制)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数学一④960 道路与交通工程基础</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复试科目要求为：01方向考5f1；02方向考582；03方向考5k0；04方向考5h3；05方向考5k1；06方向考598</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复试科目:582 智能运输系统 或 598 土力学 或 5f1 路基路面工程 或 5h3 运输工程 或 5k0 道路交通工程系统分析 或 5k1 工程测量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086100 交通运输(专业学位)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道路与铁道工程(全日制)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交通信息工程及控制(全日制)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交通运输规划与管理(全日制)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载运工具运用工程(全日制)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交通测绘与信息技术(全日制)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交通地下工程(全日制)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07 桥梁与隧道工程(全日制)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08 港口与航道工程(全日制)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F1 道路与铁道工程(非全日制)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F2 交通信息工程及控制(非全日制)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F3 交通运输规划与管理(非全日制)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F4 载运工具运用工程(非全日制)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F5 交通测绘与信息技术(非全日制)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F6 交通地下工程(非全日制)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F7 桥梁与隧道工程(非全日制)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F8 港口与航道工程(非全日制)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英语一③301 数学一④956 结构设计原理 或 959 地理信息系统基础 或 960 道路与交通工程基础 或 987 工程地质 或 990 水力学</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授予工程硕士 专业学位；复试科目要求：01方向5f1；02方向582；03方向5k0；04方向5h3；05方向588或5k1；06方向598；07方向599；08方向5h2。非全日制要求同上</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复试科目:582 智能运输系统 或 588 程序设计基础与GIS软件开发 或 598 土力学 或 599 桥梁工程 或 5f1 路基路面工程 或 5h2 港航工程 或 5h3 运输工程 或 5k0 道路交通工程系统分析 或 5k1 工程测量 </w:t>
                        </w:r>
                      </w:p>
                    </w:tc>
                  </w:tr>
                </w:tbl>
                <w:p>
                  <w:pPr>
                    <w:spacing w:line="300" w:lineRule="atLeast"/>
                    <w:rPr>
                      <w:rFonts w:hint="default" w:ascii="Arial" w:hAnsi="Arial" w:cs="Arial"/>
                      <w:sz w:val="18"/>
                      <w:szCs w:val="18"/>
                    </w:rPr>
                  </w:pPr>
                </w:p>
              </w:tc>
            </w:tr>
          </w:tbl>
          <w:p>
            <w:pPr>
              <w:spacing w:line="270" w:lineRule="atLeast"/>
              <w:rPr>
                <w:rFonts w:hint="default" w:ascii="Arial" w:hAnsi="Arial" w:cs="Arial"/>
                <w:sz w:val="18"/>
                <w:szCs w:val="18"/>
              </w:rPr>
            </w:pPr>
          </w:p>
        </w:tc>
      </w:tr>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tbl>
            <w:tblPr>
              <w:tblW w:w="5000" w:type="pct"/>
              <w:tblCellSpacing w:w="0" w:type="dxa"/>
              <w:tblInd w:w="0" w:type="dxa"/>
              <w:shd w:val="clear" w:color="auto" w:fill="E1E7FF"/>
              <w:tblLayout w:type="autofit"/>
              <w:tblCellMar>
                <w:top w:w="75" w:type="dxa"/>
                <w:left w:w="150" w:type="dxa"/>
                <w:bottom w:w="75" w:type="dxa"/>
                <w:right w:w="75" w:type="dxa"/>
              </w:tblCellMar>
            </w:tblPr>
            <w:tblGrid>
              <w:gridCol w:w="13950"/>
            </w:tblGrid>
            <w:tr>
              <w:tblPrEx>
                <w:shd w:val="clear" w:color="auto" w:fill="E1E7FF"/>
              </w:tblPrEx>
              <w:trPr>
                <w:trHeight w:val="120"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导师信息(注:导师以姓氏拼音的首字母为序)</w:t>
                  </w:r>
                </w:p>
              </w:tc>
            </w:tr>
          </w:tbl>
          <w:p>
            <w:pPr>
              <w:rPr>
                <w:vanish/>
                <w:sz w:val="24"/>
                <w:szCs w:val="24"/>
              </w:rPr>
            </w:pPr>
          </w:p>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1393"/>
              <w:gridCol w:w="2787"/>
              <w:gridCol w:w="9755"/>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导师姓名</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081401</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岩土工程</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刘松玉,缪林昌,洪振舜,石名磊,方磊,经绯,朱志铎,蔡国军,邓永锋,丁建文,杜广印,杜延军,刘志彬,宋晓东,童立元,王菲,张国柱,章定文等</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081406</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桥梁与隧道工程</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黄侨,万水,虞建成,安琳,吴文清,刘其伟,王文炜,王新定,熊文,杨明等</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081600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测绘科学与技术</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柏春广,蔡先华,程琳,高成发,何辉明,胡伍生,戚浩平,沙月进,汤君友,田馨,王炜,闻道秋,翁永玲,吴向阳,于先文,喻国荣,张志伟等</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082300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交通运输工程</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鲍香台,柴干,陈大伟,陈飞,陈峻,陈磊磊,陈茜,陈淑燕,陈先华,陈小兵,陈学武,程建川,程琳,邓卫,丁建明,董侨,付晓,高英,顾兴宇,郭建华,过秀成,何杰,何铁军,胡靖,胡晓健,黄卫,黄晓明,季彦婕,金诚杰,李昶,李大韦,李豪杰,李铁柱,李文权,李旭宏,李志斌,廖公云,凌九忠(兼),刘攀,刘志远,陆建,陆振波,罗桑,马涛,马永锋,毛海军,闵召辉,明图章(兼),倪富健,钱振东,冉斌,任刚,沈永俊,谭华春,王晨,王昊,王声乐,王炜,夏井新,项乔君,谢远长,徐铖铖,杨军,杨敏,杨若冲,杨顺新,杨卫东(兼),叶智锐,于斌,张国强,张健,张磊,张宁,张伟光,张晓春,张永,赵池航,赵永利,周博见,朱湘,邹建平(兼)等</w:t>
                  </w:r>
                </w:p>
              </w:tc>
            </w:tr>
          </w:tbl>
          <w:p>
            <w:pPr>
              <w:spacing w:line="300" w:lineRule="atLeast"/>
              <w:jc w:val="left"/>
              <w:rPr>
                <w:rFonts w:hint="default" w:ascii="Arial" w:hAnsi="Arial" w:cs="Arial"/>
                <w:vanish/>
                <w:sz w:val="18"/>
                <w:szCs w:val="18"/>
              </w:rPr>
            </w:pPr>
          </w:p>
        </w:tc>
      </w:tr>
      <w:tr>
        <w:tblPrEx>
          <w:shd w:val="clear"/>
          <w:tblCellMar>
            <w:top w:w="0" w:type="dxa"/>
            <w:left w:w="0" w:type="dxa"/>
            <w:bottom w:w="0" w:type="dxa"/>
            <w:right w:w="0" w:type="dxa"/>
          </w:tblCellMar>
        </w:tblPrEx>
        <w:trPr>
          <w:trHeight w:val="8760" w:hRule="atLeast"/>
          <w:tblCellSpacing w:w="0" w:type="dxa"/>
          <w:jc w:val="center"/>
        </w:trPr>
        <w:tc>
          <w:tcPr>
            <w:tcW w:w="8235" w:type="dxa"/>
            <w:shd w:val="clear"/>
            <w:vAlign w:val="top"/>
          </w:tcPr>
          <w:tbl>
            <w:tblPr>
              <w:tblW w:w="13920" w:type="dxa"/>
              <w:tblCellSpacing w:w="0" w:type="dxa"/>
              <w:tblInd w:w="0" w:type="dxa"/>
              <w:shd w:val="clear" w:color="auto" w:fill="E1E7FF"/>
              <w:tblLayout w:type="autofit"/>
              <w:tblCellMar>
                <w:top w:w="75" w:type="dxa"/>
                <w:left w:w="150" w:type="dxa"/>
                <w:bottom w:w="75" w:type="dxa"/>
                <w:right w:w="75" w:type="dxa"/>
              </w:tblCellMar>
            </w:tblPr>
            <w:tblGrid>
              <w:gridCol w:w="13920"/>
            </w:tblGrid>
            <w:tr>
              <w:trPr>
                <w:trHeight w:val="435"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参考书目</w:t>
                  </w:r>
                </w:p>
              </w:tc>
            </w:tr>
          </w:tbl>
          <w:p>
            <w:pPr>
              <w:spacing w:line="270" w:lineRule="atLeast"/>
              <w:rPr>
                <w:rFonts w:hint="default" w:ascii="Arial" w:hAnsi="Arial" w:cs="Arial"/>
                <w:sz w:val="18"/>
                <w:szCs w:val="18"/>
              </w:rPr>
            </w:pPr>
          </w:p>
        </w:tc>
      </w:tr>
      <w:tr>
        <w:tblPrEx>
          <w:shd w:val="clear"/>
          <w:tblCellMar>
            <w:top w:w="0" w:type="dxa"/>
            <w:left w:w="0" w:type="dxa"/>
            <w:bottom w:w="0" w:type="dxa"/>
            <w:right w:w="0" w:type="dxa"/>
          </w:tblCellMar>
        </w:tblPrEx>
        <w:trPr>
          <w:trHeight w:val="8760" w:hRule="atLeast"/>
          <w:tblCellSpacing w:w="0" w:type="dxa"/>
          <w:jc w:val="center"/>
        </w:trPr>
        <w:tc>
          <w:tcPr>
            <w:tcW w:w="0" w:type="auto"/>
            <w:shd w:val="clear"/>
            <w:vAlign w:val="top"/>
          </w:tcPr>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637"/>
              <w:gridCol w:w="1602"/>
              <w:gridCol w:w="11696"/>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参考书目</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结构设计原理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《结构设计原理》（第四版）叶见曙（钢筋混凝土及预应力部分），人民交通出版社，2018年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959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地理信息系统基础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《地理信息系统教程》汤国安,刘学军,闾国年等，高等教育出版社, 2011年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道路与交通工程基础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交通、信控：《交通工程学》（第2版）王炜、过秀成等编，东南大学出版社，2011年；道路：《道路勘测设计》（第四版）许金良主编，人民交通出版社，2016年；载运：《运输组织学》（第二版），鲍香台、何杰，东南大学出版社，2015.9</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987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工程地质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 xml:space="preserve">《工程地质学》吴继敏主编，高等教育出版社出版，2006年 </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990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水力学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《水力学》（第2版）赵振兴、何建京主编，清华大学出版社，2010年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582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智能运输系统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《智能运输系统（ITS）概论》（第二版），黄卫等编，人民交通出版社，2008年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588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程序设计基础与GIS软件开发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《C++程序设计》朱金付，清华大学出版社，2009；《数据结构（用面向对象方法与C++语言描述）（第2版）》，殷人昆，清湖大学出版社，2007年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土力学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《土力学》（第四版）东南大学、浙江大学、湖南大学、苏州大学合编，中国建筑工业出版社，2016年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599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桥梁工程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《桥梁工程》姚玲森，人民交通出版社，2008年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5f1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路基路面工程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《路基路面工程》（第五版），黄晓明，人民交通出版社，2017年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5h2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港航工程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《港口与海岸水工建筑物》 王元战，人民交通出版社，2013年；《航道整治》徐金环，人民交通出版社，2011年</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5h3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运输工程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《运输工程》（第二版），陈大伟、李旭宏，人民交通出版社，2014.3</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5k0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道路交通工程系统分析</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 xml:space="preserve">《道路交通工程系统分析方法》（第2版），王炜编，人民交通出版社，2011年 </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5k1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工程测量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《土木工程测量》第五版，胡伍生、潘庆林，东南大学出版社，2016年</w:t>
                  </w:r>
                </w:p>
              </w:tc>
            </w:tr>
          </w:tbl>
          <w:p>
            <w:pPr>
              <w:spacing w:line="300" w:lineRule="atLeast"/>
              <w:rPr>
                <w:rFonts w:hint="default" w:ascii="Arial" w:hAnsi="Arial" w:cs="Arial"/>
                <w:sz w:val="18"/>
                <w:szCs w:val="18"/>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E5268"/>
    <w:rsid w:val="2B7E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223399"/>
      <w:u w:val="none"/>
    </w:rPr>
  </w:style>
  <w:style w:type="character" w:styleId="6">
    <w:name w:val="Hyperlink"/>
    <w:basedOn w:val="3"/>
    <w:uiPriority w:val="0"/>
    <w:rPr>
      <w:color w:val="22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2019-12-03T08:20:00Z</dcterms:created>
  <dc:creator>Administrator</dc:creator>
  <cp:lastModifiedBy>Administrator</cp:lastModifiedBy>
  <dcterms:modified xsi:type="dcterms:W3CDTF">2019-12-03T08:21:28Z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