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52"/>
          <w:szCs w:val="52"/>
        </w:rPr>
      </w:pPr>
      <w:bookmarkStart w:id="0" w:name="_GoBack"/>
      <w:r>
        <w:rPr>
          <w:rFonts w:hint="eastAsia"/>
          <w:sz w:val="52"/>
          <w:szCs w:val="52"/>
        </w:rPr>
        <w:t>公共管理学院(非全日制)</w:t>
      </w:r>
    </w:p>
    <w:bookmarkEnd w:id="0"/>
    <w:p>
      <w:pPr>
        <w:rPr>
          <w:rFonts w:hint="eastAsia"/>
        </w:rPr>
      </w:pPr>
    </w:p>
    <w:tbl>
      <w:tblPr>
        <w:tblW w:w="4997" w:type="pct"/>
        <w:tblCellSpacing w:w="15" w:type="dxa"/>
        <w:tblInd w:w="0" w:type="dxa"/>
        <w:tblBorders>
          <w:top w:val="single" w:color="BBBBBB" w:sz="6" w:space="0"/>
          <w:left w:val="single" w:color="BBBBBB" w:sz="6" w:space="0"/>
          <w:bottom w:val="single" w:color="BBBBBB" w:sz="6" w:space="0"/>
          <w:right w:val="single" w:color="BBBBBB" w:sz="6" w:space="0"/>
          <w:insideH w:val="none" w:color="auto" w:sz="0" w:space="0"/>
          <w:insideV w:val="none" w:color="auto" w:sz="0" w:space="0"/>
        </w:tblBorders>
        <w:shd w:val="clear" w:color="auto" w:fill="EEEEEE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7"/>
        <w:gridCol w:w="330"/>
        <w:gridCol w:w="330"/>
        <w:gridCol w:w="436"/>
        <w:gridCol w:w="453"/>
        <w:gridCol w:w="538"/>
        <w:gridCol w:w="407"/>
        <w:gridCol w:w="962"/>
        <w:gridCol w:w="1345"/>
        <w:gridCol w:w="6697"/>
        <w:gridCol w:w="869"/>
        <w:gridCol w:w="826"/>
        <w:gridCol w:w="490"/>
      </w:tblGrid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  <w:tblCellSpacing w:w="15" w:type="dxa"/>
        </w:trPr>
        <w:tc>
          <w:tcPr>
            <w:tcW w:w="144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院系</w:t>
            </w:r>
          </w:p>
        </w:tc>
        <w:tc>
          <w:tcPr>
            <w:tcW w:w="96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学习方式</w:t>
            </w:r>
          </w:p>
        </w:tc>
        <w:tc>
          <w:tcPr>
            <w:tcW w:w="96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学位类别</w:t>
            </w:r>
          </w:p>
        </w:tc>
        <w:tc>
          <w:tcPr>
            <w:tcW w:w="145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一级学科(类别)</w:t>
            </w:r>
          </w:p>
        </w:tc>
        <w:tc>
          <w:tcPr>
            <w:tcW w:w="151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报考专业</w:t>
            </w:r>
          </w:p>
        </w:tc>
        <w:tc>
          <w:tcPr>
            <w:tcW w:w="181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研究方向</w:t>
            </w:r>
          </w:p>
        </w:tc>
        <w:tc>
          <w:tcPr>
            <w:tcW w:w="135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具体研究方向</w:t>
            </w:r>
          </w:p>
        </w:tc>
        <w:tc>
          <w:tcPr>
            <w:tcW w:w="331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考试科目</w:t>
            </w:r>
          </w:p>
        </w:tc>
        <w:tc>
          <w:tcPr>
            <w:tcW w:w="466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复试办法及内容</w:t>
            </w:r>
          </w:p>
        </w:tc>
        <w:tc>
          <w:tcPr>
            <w:tcW w:w="2356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298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统考生计划名额</w:t>
            </w:r>
          </w:p>
        </w:tc>
        <w:tc>
          <w:tcPr>
            <w:tcW w:w="283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免试生计划名额</w:t>
            </w:r>
          </w:p>
        </w:tc>
        <w:tc>
          <w:tcPr>
            <w:tcW w:w="159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欢迎报考的本科专业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公共管理学院(22)</w:t>
            </w:r>
          </w:p>
        </w:tc>
        <w:tc>
          <w:tcPr>
            <w:tcW w:w="9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非全日制</w:t>
            </w:r>
          </w:p>
        </w:tc>
        <w:tc>
          <w:tcPr>
            <w:tcW w:w="9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  <w:tc>
          <w:tcPr>
            <w:tcW w:w="14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公共管理(1252)</w:t>
            </w:r>
          </w:p>
        </w:tc>
        <w:tc>
          <w:tcPr>
            <w:tcW w:w="15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公共管理(125200)</w:t>
            </w:r>
          </w:p>
        </w:tc>
        <w:tc>
          <w:tcPr>
            <w:tcW w:w="18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(00)公共管理 (125200)</w:t>
            </w:r>
          </w:p>
        </w:tc>
        <w:tc>
          <w:tcPr>
            <w:tcW w:w="13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不区分研究方向</w:t>
            </w:r>
          </w:p>
        </w:tc>
        <w:tc>
          <w:tcPr>
            <w:tcW w:w="33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①199管理类联考综合能力②204英语二③无④无</w:t>
            </w:r>
          </w:p>
        </w:tc>
        <w:tc>
          <w:tcPr>
            <w:tcW w:w="46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面试：英语听说能力和综合素质。 笔试：专业英语和思想政治理论。</w:t>
            </w:r>
          </w:p>
        </w:tc>
        <w:tc>
          <w:tcPr>
            <w:tcW w:w="235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学历条件：大学本科毕业后有3年或3年以上工作经验的人员；获得国家承认的高职高专毕业学历后有5年或5年以上工作经验，达到与大学本科毕业同等学力的人员；已获硕士学位或博士学位并有2年或2年以上工作经验的人员。详见《浙江大学2020年硕士研究生招生简章》 在职学习，不脱产，不调档，双休日授课。 英语二和管理类综合能力由教育部考试中心命题及公布大纲。 收费标准8.8万元/全程.生。 浙大MPA网站：www.mpa.zju.edu.cn</w:t>
            </w:r>
          </w:p>
        </w:tc>
        <w:tc>
          <w:tcPr>
            <w:tcW w:w="29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230（以最终实际录取人数为准。）</w:t>
            </w:r>
          </w:p>
        </w:tc>
        <w:tc>
          <w:tcPr>
            <w:tcW w:w="28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0（以最终实际录取人数为准。）</w:t>
            </w:r>
          </w:p>
        </w:tc>
        <w:tc>
          <w:tcPr>
            <w:tcW w:w="15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00不限</w:t>
            </w: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E57606"/>
    <w:rsid w:val="6EE5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2019-12-03T07:11:00Z</dcterms:created>
  <dc:creator>Administrator</dc:creator>
  <cp:lastModifiedBy>Administrator</cp:lastModifiedBy>
  <dcterms:modified xsi:type="dcterms:W3CDTF">2019-12-03T07:12:07Z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