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20" w:afterAutospacing="0" w:line="675" w:lineRule="atLeast"/>
        <w:ind w:left="0" w:right="0"/>
        <w:jc w:val="center"/>
        <w:rPr>
          <w:color w:val="2B2B2B"/>
          <w:sz w:val="36"/>
          <w:szCs w:val="36"/>
        </w:rPr>
      </w:pPr>
      <w:bookmarkStart w:id="0" w:name="_GoBack"/>
      <w:r>
        <w:rPr>
          <w:color w:val="2B2B2B"/>
          <w:sz w:val="36"/>
          <w:szCs w:val="36"/>
        </w:rPr>
        <w:t>山东科技大学招收2018年推荐免试研究生章程</w:t>
      </w:r>
    </w:p>
    <w:bookmarkEnd w:id="0"/>
    <w:p>
      <w:pPr>
        <w:pStyle w:val="3"/>
        <w:keepNext w:val="0"/>
        <w:keepLines w:val="0"/>
        <w:widowControl/>
        <w:suppressLineNumbers w:val="0"/>
        <w:spacing w:before="0" w:beforeAutospacing="0" w:after="0" w:afterAutospacing="0" w:line="600" w:lineRule="exact"/>
        <w:ind w:left="0" w:right="0" w:firstLine="600" w:firstLineChars="200"/>
      </w:pPr>
      <w:r>
        <w:rPr>
          <w:rFonts w:ascii="仿宋" w:hAnsi="仿宋" w:eastAsia="仿宋" w:cs="仿宋"/>
          <w:kern w:val="2"/>
          <w:sz w:val="30"/>
          <w:szCs w:val="30"/>
        </w:rPr>
        <w:t>为加强拔尖创新人才选拔，提高研究生招生质量，根据教育部有关文件精神和要求，结合我校实际情况，制定本章程。</w:t>
      </w:r>
      <w:r>
        <w:rPr>
          <w:rFonts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b/>
          <w:kern w:val="2"/>
          <w:sz w:val="30"/>
          <w:szCs w:val="30"/>
        </w:rPr>
        <w:t>一、申请条件</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1．拥护中国共产党的领导，拥护社会主义制度，愿为社会主义现代化建设服务；道德品质良好，遵纪守法，身体健康。</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2.申请人须是经教育部批准具有推荐免试资格院校的2018年应届本科毕业生，并经本科就读院校遴选，已获得推荐免试研究生资格（以下简称“推免生”）。</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3.申请人须在2018年9月1日前获得本科毕业证书。</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b/>
          <w:kern w:val="2"/>
          <w:sz w:val="30"/>
          <w:szCs w:val="30"/>
        </w:rPr>
        <w:t xml:space="preserve">  二、专业、人数及学制</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我校招收推免生的专业（领域）请参阅《山东科技大学招收2018年推荐免试研究生专业目录》。</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b/>
          <w:kern w:val="2"/>
          <w:sz w:val="30"/>
          <w:szCs w:val="30"/>
        </w:rPr>
        <w:t>三、申请与录取程序</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我校9月25日后启动推免生申请和接收工作，一般按以下程序办理：</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1.推免生填报志愿。推免生登录“全国推荐优秀应届本科毕业生免试攻读研究生信息公开暨管理服务系统”（以下简称“推免服务系统”，网址：http://yz.chsi.com.cn/tm），按系统要求进行注册、填写个人信息，选报山东科技大学相关硕士专业。</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2.学校发出复试通知。学校研究生招生办公室通过“推免服务系统”查看推免生填报的志愿，向推免生发出复试通知。推免生接到复试通知后应尽快通过“推免服务系统”确认是否同意复试。</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3.推免生参加复试。同意参加复试的推免生按复试通知要求按时来学校报到并参加复试。推免生复试以各专业复试小组面试考查为主。</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推免生在复试报到时需准备下列材料：</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（1）验二代居民身份证、学生证原件，交复印件（身份证复印正反面，学生证复印学生信息和注册情况）。</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（2）交加盖推荐学校教务处公章的本科历年学习成绩单。</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（3）交其他有关材料复印件（如大学英语四、六级考试成绩单复印件，其他获奖证书、本人发表的学术论文、出版物或原创性工作成果等）。</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4.办理待录取手续。复试及体检均合格并经我校研究生招生工作领导小组批准录取的推免生，我校研究生招生办公室通过“推免服务系统”给其发待录取通知，被待录取的推免生要及时通过“推免服务系统”确认是否接受待录取。</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5.省级招办审核与公示。学校将待录取的推免生名单报山东省教育招生考试院审核，并按要求进行公示。审核和公示均通过的推免生即被我校正式录取为2017年硕士研究生。</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b/>
          <w:kern w:val="2"/>
          <w:sz w:val="30"/>
          <w:szCs w:val="30"/>
        </w:rPr>
        <w:t xml:space="preserve">  四、奖助政策</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1.奖助学金。学校设有研究生新生奖学金，录取的推免生本科期间学分绩点排名在本专业前10%（含）者，给予相当于基本学制年限内所有学费的奖励（如学制3年，则奖励24000元），排名在本专业前10%-20%（含）者，给予相当于1/2基本学制年限内应缴学费的奖励（如学制3年，则奖励12000元），对录取的学分绩点排名不在上述范围的推免生，给予相当于1/3基本学制年限内应缴学费的奖励（如学制3年，则奖励8000元），推免生获新生奖学金，不影响其读研期间参评其他各类奖学金；</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学校有完善的研究生奖助体系，研究生在读期间均享受国家助学金（博士生2000元/月，硕士生500元/月），可参评国家奖学金（博士生30000元/人，硕士生20000元/人）、学业奖学金（奖励覆盖面70%左右）、科技创新奖学金、各类企业和专项奖学金等，可聘任助研、助教、助管岗位并取得相应岗位津贴。</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firstLineChars="200"/>
      </w:pPr>
      <w:r>
        <w:rPr>
          <w:rFonts w:hint="eastAsia" w:ascii="仿宋" w:hAnsi="仿宋" w:eastAsia="仿宋" w:cs="仿宋"/>
          <w:kern w:val="2"/>
          <w:sz w:val="30"/>
          <w:szCs w:val="30"/>
        </w:rPr>
        <w:t>2.其他奖励政策。硕士、博士连续在我校就读且品学兼优的学生，毕业后学校优先聘用留校工作；推免生在读研期间可优先录取为我校的硕博连读博士生。</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firstLineChars="200"/>
      </w:pPr>
      <w:r>
        <w:rPr>
          <w:rFonts w:hint="eastAsia" w:ascii="仿宋" w:hAnsi="仿宋" w:eastAsia="仿宋" w:cs="仿宋"/>
          <w:kern w:val="2"/>
          <w:sz w:val="30"/>
          <w:szCs w:val="30"/>
        </w:rPr>
        <w:t>3.学校鼓励各学院积极出台针对推免生的奖助办法，详情请咨询相关学院。</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b/>
          <w:kern w:val="2"/>
          <w:sz w:val="30"/>
          <w:szCs w:val="30"/>
        </w:rPr>
        <w:t xml:space="preserve">  五、其他事项</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1.申请人必须保证所提交申请材料的真实性和准确性。</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firstLine="600"/>
      </w:pPr>
      <w:r>
        <w:rPr>
          <w:rFonts w:hint="eastAsia" w:ascii="仿宋" w:hAnsi="仿宋" w:eastAsia="仿宋" w:cs="仿宋"/>
          <w:kern w:val="2"/>
          <w:sz w:val="30"/>
          <w:szCs w:val="30"/>
        </w:rPr>
        <w:t>2.被录取的推免生不准再参加全国硕士研究生入学考试，否则，将取消其录取资格。</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3.被录取的推免生如在研究生入学报到时未获得毕业证书，学校将取消其录取资格。</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仿宋" w:hAnsi="仿宋" w:eastAsia="仿宋" w:cs="仿宋"/>
          <w:kern w:val="2"/>
          <w:sz w:val="30"/>
          <w:szCs w:val="30"/>
        </w:rPr>
        <w:t xml:space="preserve">  4.咨询、监督与申诉渠道。山东科技大学研究生招生办公室电话：0532-86057150，邮箱：yzb@sdust.edu.cn；山东科技大学纪委、监察处电话：0532-86057195，邮箱：jiwei@sdust.edu.cn；山东科技大学研究生院网站：http://yjsy.sdust.edu.cn。</w:t>
      </w:r>
      <w:r>
        <w:rPr>
          <w:rFonts w:hint="default" w:ascii="Verdana" w:hAnsi="Verdana" w:cs="Verdana"/>
          <w:sz w:val="18"/>
          <w:szCs w:val="18"/>
        </w:rPr>
        <w:t xml:space="preserve"> </w:t>
      </w:r>
    </w:p>
    <w:p>
      <w:pPr>
        <w:pStyle w:val="3"/>
        <w:keepNext w:val="0"/>
        <w:keepLines w:val="0"/>
        <w:widowControl/>
        <w:suppressLineNumbers w:val="0"/>
        <w:spacing w:before="0" w:beforeAutospacing="0" w:after="0" w:afterAutospacing="0" w:line="600" w:lineRule="exact"/>
        <w:ind w:left="0" w:right="0"/>
      </w:pPr>
      <w:r>
        <w:rPr>
          <w:rFonts w:hint="eastAsia" w:ascii="宋体" w:hAnsi="宋体" w:eastAsia="宋体" w:cs="宋体"/>
          <w:color w:val="333333"/>
          <w:kern w:val="0"/>
          <w:sz w:val="21"/>
          <w:szCs w:val="21"/>
        </w:rPr>
        <w:t>附件：</w:t>
      </w:r>
      <w:r>
        <w:rPr>
          <w:rFonts w:hint="default" w:ascii="Verdana" w:hAnsi="Verdana" w:cs="Verdana"/>
          <w:sz w:val="18"/>
          <w:szCs w:val="18"/>
        </w:rPr>
        <w:t xml:space="preserve"> </w:t>
      </w:r>
    </w:p>
    <w:p>
      <w:pPr>
        <w:pStyle w:val="3"/>
        <w:keepNext w:val="0"/>
        <w:keepLines w:val="0"/>
        <w:widowControl/>
        <w:suppressLineNumbers w:val="0"/>
        <w:spacing w:before="0" w:beforeAutospacing="0" w:after="156" w:afterLines="50" w:afterAutospacing="0"/>
        <w:ind w:left="0" w:right="0"/>
        <w:jc w:val="center"/>
      </w:pPr>
      <w:r>
        <w:rPr>
          <w:rFonts w:ascii="黑体" w:hAnsi="宋体" w:eastAsia="黑体" w:cs="黑体"/>
          <w:b/>
          <w:kern w:val="2"/>
          <w:sz w:val="32"/>
          <w:szCs w:val="32"/>
        </w:rPr>
        <w:t>山东科技大学招收</w:t>
      </w:r>
      <w:r>
        <w:rPr>
          <w:rFonts w:hint="eastAsia" w:ascii="黑体" w:hAnsi="宋体" w:eastAsia="黑体" w:cs="黑体"/>
          <w:b/>
          <w:kern w:val="2"/>
          <w:sz w:val="32"/>
          <w:szCs w:val="32"/>
        </w:rPr>
        <w:t>2018年推荐免试研究生专业目录</w:t>
      </w:r>
      <w:r>
        <w:rPr>
          <w:rFonts w:hint="default" w:ascii="Verdana" w:hAnsi="Verdana" w:cs="Verdana"/>
          <w:sz w:val="18"/>
          <w:szCs w:val="18"/>
        </w:rPr>
        <w:t xml:space="preserve"> </w:t>
      </w:r>
    </w:p>
    <w:tbl>
      <w:tblPr>
        <w:tblW w:w="8627"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35"/>
        <w:gridCol w:w="1176"/>
        <w:gridCol w:w="936"/>
        <w:gridCol w:w="38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85" w:hRule="atLeast"/>
          <w:jc w:val="center"/>
        </w:trPr>
        <w:tc>
          <w:tcPr>
            <w:tcW w:w="1635"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学院名称</w:t>
            </w:r>
            <w:r>
              <w:rPr>
                <w:rFonts w:hint="default" w:ascii="Verdana" w:hAnsi="Verdana" w:cs="Verdana"/>
                <w:sz w:val="18"/>
                <w:szCs w:val="18"/>
                <w:bdr w:val="none" w:color="auto" w:sz="0" w:space="0"/>
              </w:rPr>
              <w:t xml:space="preserve"> </w:t>
            </w:r>
          </w:p>
        </w:tc>
        <w:tc>
          <w:tcPr>
            <w:tcW w:w="117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接收推免人数</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专业</w:t>
            </w:r>
            <w:r>
              <w:rPr>
                <w:rFonts w:hint="default" w:ascii="Verdana" w:hAnsi="Verdana" w:cs="Verdana"/>
                <w:sz w:val="18"/>
                <w:szCs w:val="18"/>
                <w:bdr w:val="none" w:color="auto" w:sz="0" w:space="0"/>
              </w:rPr>
              <w:t xml:space="preserve"> </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代码</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专业名称</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培养</w:t>
            </w:r>
            <w:r>
              <w:rPr>
                <w:rFonts w:hint="default" w:ascii="Verdana" w:hAnsi="Verdana" w:cs="Verdana"/>
                <w:sz w:val="18"/>
                <w:szCs w:val="18"/>
                <w:bdr w:val="none" w:color="auto" w:sz="0" w:space="0"/>
              </w:rPr>
              <w:t xml:space="preserve"> </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b/>
                <w:kern w:val="0"/>
                <w:sz w:val="21"/>
                <w:szCs w:val="21"/>
                <w:bdr w:val="none" w:color="auto" w:sz="0" w:space="0"/>
              </w:rPr>
              <w:t>方式</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矿业与安全工程学院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40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071101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系统理论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一般力学与力学基础</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固体力学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080103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流体力学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080104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工程力学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采矿工程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安全技术及工程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0819J1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矿山环境工程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0819J3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矿业信息工程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0819Z1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资源经济与管理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083700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安全科学与工程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矿业工程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矿业工程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085224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安全工程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085224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安全工程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085236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工业工程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085236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工业工程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测绘科学与工程学院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30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070501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自然地理学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070502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人文地理学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070503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地图学与地理信息系统</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081601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大地测量学与测量工程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081602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摄影测量与遥感</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081603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地图制图学与地理信息工程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0816Z1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海洋测绘</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测绘工程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测绘工程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地球科学与工程学院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25</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070901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矿物学、岩石学、矿床学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070902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地球化学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070903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古生物学与地层学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070904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构造地质学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070905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第四纪地质学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081801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矿产普查与勘探</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081802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地球探测与信息技术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081803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085217</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085217</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地质工程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土木工程与建筑学院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30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岩土工程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结构工程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市政工程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供热、供燃气、通风及空调工程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防灾减灾工程及防护工程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081406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桥梁与隧道工程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建筑与土木工程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建筑与土木工程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机械电子工程学院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40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机械制造及其自动化</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080202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机械电子工程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080203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机械设计及理论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080401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精密仪器及机械</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080402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测试计量技术及仪器</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工程热物理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热能工程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动力机械及工程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流体机械及工程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制冷及低温工程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080706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化工过程机械</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机械工程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动力工程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动力工程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计算机科学与工程学院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30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计算机系统结构</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081202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计算机软件与理论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081203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计算机应用技术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计算机技术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软件工程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软件工程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120502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情报学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经济管理学院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025100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金融</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120100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管理科学与工程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120201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会计学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120202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企业管理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120204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技术经济及管理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电气与自动化工程学院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40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080801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电机与电器</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080802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电力系统及其自动化</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080803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高电压与绝缘技术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080804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电力电子与电力传动</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080805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电工理论与新技术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控制理论与控制工程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检测技术与自动化装置</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系统工程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模式识别与智能系统</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0811Z1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新能源控制与节能技术</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085207</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电气工程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085207</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电气工程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控制工程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控制工程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化学与环境工程学院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化学工程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化学工艺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生物化工</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应用化学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工业催化</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0817Z1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煤化工</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081902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矿物加工工程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083002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环境工程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化学工程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085216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化学工程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085229</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环境工程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085229</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环境工程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材料科学与工程学院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080501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材料物理与化学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080502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080503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材料加工工程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材料工程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文法学院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宪法学与行政法学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刑法学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民商法学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诉讼法学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030107</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经济法学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环境与资源保护法学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030109</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国际法学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0301Z1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法政策学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法律（非法学）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法律（非法学）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035102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法律（法学）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035102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法律（法学）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外国语学院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050201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英语语言文学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050211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外国语言学及应用语言学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英语笔译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英语笔译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英语口译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英语口译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日语笔译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055106</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日语口译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055111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朝鲜语笔译</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电子通信与物理学院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30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080901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物理电子学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080902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电路与系统</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081001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通信与信息系统</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081002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信号与信息处理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导航、制导与控制</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0811Z2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光电检测与控制</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电子与通信工程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085208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电子与通信工程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艺术与设计学院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0802Z2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工业设计</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135101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音乐</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135101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音乐</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135108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艺术设计</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135108</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艺术设计</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数学与系统科学学院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20</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025100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金融</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025100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金融</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070101</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基础数学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计算数学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070103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概率论与数理统计</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070104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应用数学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070105</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运筹学与控制论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071102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系统分析与集成</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071400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统计学</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restart"/>
            <w:tcBorders>
              <w:top w:val="nil"/>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交通学院</w:t>
            </w:r>
            <w:r>
              <w:rPr>
                <w:rFonts w:hint="default" w:ascii="Verdana" w:hAnsi="Verdana" w:cs="Verdana"/>
                <w:sz w:val="18"/>
                <w:szCs w:val="18"/>
                <w:bdr w:val="none" w:color="auto" w:sz="0" w:space="0"/>
              </w:rPr>
              <w:t xml:space="preserve"> </w:t>
            </w:r>
          </w:p>
        </w:tc>
        <w:tc>
          <w:tcPr>
            <w:tcW w:w="1176" w:type="dxa"/>
            <w:vMerge w:val="restart"/>
            <w:tcBorders>
              <w:top w:val="nil"/>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15</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080204</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车辆工程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082302</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交通信息工程及控制</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082303</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交通运输规划与管理</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085240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物流工程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vMerge w:val="continue"/>
            <w:tcBorders>
              <w:top w:val="nil"/>
              <w:left w:val="single" w:color="auto" w:sz="4" w:space="0"/>
              <w:bottom w:val="single" w:color="auto" w:sz="4" w:space="0"/>
              <w:right w:val="single" w:color="auto" w:sz="4" w:space="0"/>
            </w:tcBorders>
            <w:shd w:val="clear"/>
            <w:vAlign w:val="center"/>
          </w:tcPr>
          <w:p>
            <w:pPr>
              <w:rPr>
                <w:rFonts w:hint="default" w:ascii="Verdana" w:hAnsi="Verdana" w:cs="Verdana"/>
                <w:sz w:val="18"/>
                <w:szCs w:val="18"/>
              </w:rPr>
            </w:pPr>
          </w:p>
        </w:tc>
        <w:tc>
          <w:tcPr>
            <w:tcW w:w="1176" w:type="dxa"/>
            <w:vMerge w:val="continue"/>
            <w:tcBorders>
              <w:top w:val="nil"/>
              <w:left w:val="nil"/>
              <w:bottom w:val="single" w:color="auto" w:sz="4" w:space="0"/>
              <w:right w:val="single" w:color="auto" w:sz="4" w:space="0"/>
            </w:tcBorders>
            <w:shd w:val="clear"/>
            <w:vAlign w:val="center"/>
          </w:tcPr>
          <w:p>
            <w:pPr>
              <w:rPr>
                <w:rFonts w:hint="default" w:ascii="Verdana" w:hAnsi="Verdana" w:cs="Verdana"/>
                <w:sz w:val="18"/>
                <w:szCs w:val="18"/>
              </w:rPr>
            </w:pP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085240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物流工程</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非全日制</w:t>
            </w:r>
            <w:r>
              <w:rPr>
                <w:rFonts w:hint="default" w:ascii="Verdana" w:hAnsi="Verdana" w:cs="Verdana"/>
                <w:sz w:val="18"/>
                <w:szCs w:val="18"/>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635" w:type="dxa"/>
            <w:tcBorders>
              <w:top w:val="single" w:color="auto" w:sz="4" w:space="0"/>
              <w:left w:val="single" w:color="auto" w:sz="4" w:space="0"/>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马克思主义学院</w:t>
            </w:r>
            <w:r>
              <w:rPr>
                <w:rFonts w:hint="default" w:ascii="Verdana" w:hAnsi="Verdana" w:cs="Verdana"/>
                <w:sz w:val="18"/>
                <w:szCs w:val="18"/>
                <w:bdr w:val="none" w:color="auto" w:sz="0" w:space="0"/>
              </w:rPr>
              <w:t xml:space="preserve"> </w:t>
            </w:r>
          </w:p>
        </w:tc>
        <w:tc>
          <w:tcPr>
            <w:tcW w:w="117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bdr w:val="none" w:color="auto" w:sz="0" w:space="0"/>
              </w:rPr>
              <w:t>5</w:t>
            </w:r>
            <w:r>
              <w:rPr>
                <w:rFonts w:hint="default" w:ascii="Verdana" w:hAnsi="Verdana" w:cs="Verdana"/>
                <w:sz w:val="18"/>
                <w:szCs w:val="18"/>
                <w:bdr w:val="none" w:color="auto" w:sz="0" w:space="0"/>
              </w:rPr>
              <w:t xml:space="preserve"> </w:t>
            </w:r>
          </w:p>
        </w:tc>
        <w:tc>
          <w:tcPr>
            <w:tcW w:w="936"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030500</w:t>
            </w:r>
            <w:r>
              <w:rPr>
                <w:rFonts w:hint="default" w:ascii="Verdana" w:hAnsi="Verdana" w:cs="Verdana"/>
                <w:sz w:val="18"/>
                <w:szCs w:val="18"/>
                <w:bdr w:val="none" w:color="auto" w:sz="0" w:space="0"/>
              </w:rPr>
              <w:t xml:space="preserve"> </w:t>
            </w:r>
          </w:p>
        </w:tc>
        <w:tc>
          <w:tcPr>
            <w:tcW w:w="380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马克思主义理论</w:t>
            </w:r>
            <w:r>
              <w:rPr>
                <w:rFonts w:hint="default" w:ascii="Verdana" w:hAnsi="Verdana" w:cs="Verdana"/>
                <w:sz w:val="18"/>
                <w:szCs w:val="18"/>
                <w:bdr w:val="none" w:color="auto" w:sz="0" w:space="0"/>
              </w:rPr>
              <w:t xml:space="preserve"> </w:t>
            </w:r>
          </w:p>
        </w:tc>
        <w:tc>
          <w:tcPr>
            <w:tcW w:w="1080" w:type="dxa"/>
            <w:tcBorders>
              <w:top w:val="single" w:color="auto" w:sz="4" w:space="0"/>
              <w:left w:val="nil"/>
              <w:bottom w:val="single" w:color="auto" w:sz="4" w:space="0"/>
              <w:right w:val="single" w:color="auto" w:sz="4" w:space="0"/>
            </w:tcBorders>
            <w:shd w:val="clear"/>
            <w:vAlign w:val="center"/>
          </w:tcPr>
          <w:p>
            <w:pPr>
              <w:pStyle w:val="3"/>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rPr>
              <w:t>全日制</w:t>
            </w:r>
            <w:r>
              <w:rPr>
                <w:rFonts w:hint="default" w:ascii="Verdana" w:hAnsi="Verdana" w:cs="Verdana"/>
                <w:sz w:val="18"/>
                <w:szCs w:val="18"/>
                <w:bdr w:val="none" w:color="auto" w:sz="0" w:space="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45267"/>
    <w:rsid w:val="48545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8">
    <w:name w:val="info"/>
    <w:basedOn w:val="4"/>
    <w:uiPriority w:val="0"/>
    <w:rPr>
      <w:color w:val="555555"/>
      <w:bdr w:val="none" w:color="auto" w:sz="0" w:space="0"/>
    </w:rPr>
  </w:style>
  <w:style w:type="character" w:customStyle="1" w:styleId="9">
    <w:name w:val="fr"/>
    <w:basedOn w:val="4"/>
    <w:uiPriority w:val="0"/>
  </w:style>
  <w:style w:type="character" w:customStyle="1" w:styleId="10">
    <w:name w:val="fr1"/>
    <w:basedOn w:val="4"/>
    <w:uiPriority w:val="0"/>
  </w:style>
  <w:style w:type="character" w:customStyle="1" w:styleId="11">
    <w:name w:val="fr2"/>
    <w:basedOn w:val="4"/>
    <w:uiPriority w:val="0"/>
  </w:style>
  <w:style w:type="character" w:customStyle="1" w:styleId="12">
    <w:name w:val="info2"/>
    <w:basedOn w:val="4"/>
    <w:uiPriority w:val="0"/>
    <w:rPr>
      <w:color w:val="776955"/>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2017-09-22T06:27:00Z</dcterms:created>
  <dc:creator>Daisy</dc:creator>
  <cp:lastModifiedBy>Daisy</cp:lastModifiedBy>
  <dcterms:modified xsi:type="dcterms:W3CDTF">2017-09-22T06:28:28Z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