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03" w:firstLineChars="20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  I学术学位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 </w:t>
      </w:r>
    </w:p>
    <w:tbl>
      <w:tblPr>
        <w:tblW w:w="7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3"/>
        <w:gridCol w:w="1627"/>
        <w:gridCol w:w="1628"/>
        <w:gridCol w:w="8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2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学科门类名称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（满分=100分）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（满分&gt;100分）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2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工学（含工学照顾专业）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</w:pP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</w:pP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03" w:firstLineChars="20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      II专业学位（含非全日制）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 </w:t>
      </w:r>
    </w:p>
    <w:tbl>
      <w:tblPr>
        <w:tblW w:w="7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73"/>
        <w:gridCol w:w="1618"/>
        <w:gridCol w:w="1647"/>
        <w:gridCol w:w="804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2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学科门类名称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（满分=100分）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（满分&gt;100分）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2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金融[0251]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资产评估[0256]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0351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法律硕士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教育硕士[0451]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汉语国际教育[0453]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0551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建筑学硕士[0851]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工程硕士[0852]（含工程照顾专业）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城市规划[0853]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0953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工商管理硕士(MBA)[1251]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公共管理硕士(MPA)[1252]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工程管理硕士(MEM)[1256]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100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工商管理（MBA）[1251](提前批面试)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bdr w:val="none" w:color="auto" w:sz="0" w:space="0"/>
                <w:lang w:val="en-US" w:eastAsia="zh-CN" w:bidi="ar"/>
              </w:rPr>
              <w:t>已通过提前批面试考生，参照国家A类考生线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Calibri" w:hAnsi="Calibri" w:cs="Calibr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03" w:firstLineChars="20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    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03" w:firstLineChars="20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      Ⅲ专项计划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</w:pP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 </w:t>
      </w:r>
    </w:p>
    <w:tbl>
      <w:tblPr>
        <w:tblW w:w="7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4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专项计划类别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少数民族骨干计划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总分不低于265分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援藏计划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退役大学生士兵计划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非管理类联考：总分不低于200分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管理类联考：总分不低于120分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单独考试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总分不低于295分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对口支援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总分不低于255分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400" w:lineRule="exact"/>
        <w:ind w:left="0" w:right="0"/>
        <w:jc w:val="left"/>
      </w:pPr>
      <w:r>
        <w:rPr>
          <w:rFonts w:hint="default" w:ascii="Calibri" w:hAnsi="Calibri" w:eastAsia="楷体_GB2312" w:cs="Calibri"/>
          <w:kern w:val="0"/>
          <w:sz w:val="28"/>
          <w:szCs w:val="28"/>
          <w:lang w:val="en-US" w:eastAsia="zh-CN" w:bidi="ar"/>
        </w:rPr>
        <w:t>附注：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00" w:lineRule="exact"/>
        <w:ind w:left="0" w:right="0" w:firstLine="480" w:firstLineChars="200"/>
        <w:jc w:val="left"/>
      </w:pP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、我校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2017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年部分非全日制专业学位可接收校外调剂，具体请参见我校研究生招生网（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yzb.tju.edu.cn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）和相关学院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网页上公布的调剂信息。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00" w:lineRule="exact"/>
        <w:ind w:left="0" w:right="0" w:firstLine="480" w:firstLineChars="200"/>
        <w:jc w:val="left"/>
      </w:pP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、参加复试的考生需符合天津大学复试分数基本要求，但能否参加复试，还须达到所报学院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的学科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专业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线要求。我校实行差额复试，差额比例一般不低于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120%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，由学院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组织，相关复试录取细则（或工作方案）也会陆续公布在我校研究生招生网（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yzb.tju.edu.cn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）和学院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网页上。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00" w:lineRule="exact"/>
        <w:ind w:left="0" w:right="0" w:firstLine="480" w:firstLineChars="200"/>
        <w:jc w:val="left"/>
      </w:pP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、对于进入复试名单的考生，参加复试前及时网上缴纳复试费，缴纳成功后可自行下载打印《资格审查合格单》。我校将统一进行资格审查，时间、地点：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2017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16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日、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日卫津路校区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25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教学楼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A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区一层大厅，具体安排请看各学院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复试办法。缴费开通时间为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日。复试时间：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2017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18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日至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21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日，具体复试方案由各学院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(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)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具体安排。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00" w:lineRule="exact"/>
        <w:ind w:left="0" w:right="0" w:firstLine="480" w:firstLineChars="200"/>
        <w:jc w:val="left"/>
      </w:pP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4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、所有参加复试的考生需到我校进行体检。体检标准参照教育部、卫生部、中国残疾人联合会修订的《普通高等学校招生体检工作指导意见》，不参加体检或体检不合格者不予录取。体检时间为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15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日至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日，具体办法请查阅复试办法。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00" w:lineRule="exact"/>
        <w:ind w:left="0" w:right="0" w:firstLine="480" w:firstLineChars="200"/>
        <w:jc w:val="left"/>
        <w:outlineLvl w:val="1"/>
      </w:pP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5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、符合教育部认可或备案“大学生志愿服务西部计划”、“三支一扶计划”、“农村义务教育阶段学校教师特设岗位计划”、“赴外汉语教师志愿者”、“选聘高校毕业生到村任职”等项目加分政策的考生，以及目前工作单位在民族区域自治地方范围，为原单位定向培养的少数民族在职人员考生（不含单考生、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MBA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考生、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MPA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考生、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MEM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考生），在国家政策允许的范围内对符合基本培养条件的考生适当照顾。符合上述条件的考生，需在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3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月</w:t>
      </w:r>
      <w:r>
        <w:rPr>
          <w:rFonts w:hint="default" w:ascii="Calibri" w:hAnsi="Calibri" w:cs="Calibri" w:eastAsiaTheme="minorEastAsia"/>
          <w:color w:val="333333"/>
          <w:kern w:val="0"/>
          <w:sz w:val="24"/>
          <w:szCs w:val="21"/>
          <w:shd w:val="clear" w:fill="FFFFFF"/>
          <w:lang w:val="en-US" w:eastAsia="zh-CN" w:bidi="ar"/>
        </w:rPr>
        <w:t>17</w:t>
      </w:r>
      <w:r>
        <w:rPr>
          <w:rFonts w:hint="eastAsia" w:ascii="Calibri" w:hAnsi="Calibri" w:eastAsia="宋体" w:cs="宋体"/>
          <w:color w:val="333333"/>
          <w:kern w:val="0"/>
          <w:sz w:val="24"/>
          <w:szCs w:val="21"/>
          <w:shd w:val="clear" w:fill="FFFFFF"/>
          <w:lang w:val="en-US" w:eastAsia="zh-CN" w:bidi="ar"/>
        </w:rPr>
        <w:t>日前向我校研究生招生办公室提出书面申请，并提供相关证明材料。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6296C"/>
    <w:rsid w:val="2EF75A6C"/>
    <w:rsid w:val="501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85773"/>
      <w:u w:val="none"/>
    </w:rPr>
  </w:style>
  <w:style w:type="character" w:styleId="7">
    <w:name w:val="Hyperlink"/>
    <w:basedOn w:val="4"/>
    <w:uiPriority w:val="0"/>
    <w:rPr>
      <w:color w:val="38577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2020-02-25T03:46:00Z</dcterms:created>
  <dc:creator>         青山</dc:creator>
  <cp:lastModifiedBy>         青山</cp:lastModifiedBy>
  <dcterms:modified xsi:type="dcterms:W3CDTF">2020-02-25T03:52:15Z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