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2"/>
          <w:szCs w:val="32"/>
        </w:rPr>
      </w:pPr>
      <w:r>
        <w:rPr>
          <w:rFonts w:hint="eastAsia"/>
          <w:b/>
          <w:sz w:val="32"/>
          <w:szCs w:val="32"/>
        </w:rPr>
        <w:t>临沂大学</w:t>
      </w:r>
    </w:p>
    <w:p>
      <w:pPr>
        <w:spacing w:line="360" w:lineRule="auto"/>
        <w:jc w:val="center"/>
        <w:rPr>
          <w:b/>
          <w:bCs/>
          <w:sz w:val="32"/>
          <w:szCs w:val="32"/>
        </w:rPr>
      </w:pPr>
      <w:r>
        <w:rPr>
          <w:rFonts w:hint="eastAsia"/>
          <w:b/>
          <w:sz w:val="32"/>
          <w:szCs w:val="32"/>
        </w:rPr>
        <w:t>硕士研究生入学考试</w:t>
      </w:r>
      <w:r>
        <w:rPr>
          <w:rFonts w:hint="eastAsia"/>
          <w:b/>
          <w:bCs/>
          <w:sz w:val="32"/>
          <w:szCs w:val="32"/>
        </w:rPr>
        <w:t>《分析化学》大纲</w:t>
      </w:r>
    </w:p>
    <w:p>
      <w:pPr>
        <w:tabs>
          <w:tab w:val="left" w:pos="2022"/>
        </w:tabs>
        <w:spacing w:afterLines="20" w:line="360" w:lineRule="auto"/>
        <w:jc w:val="left"/>
        <w:rPr>
          <w:rFonts w:ascii="宋体" w:hAnsi="宋体"/>
          <w:b/>
          <w:sz w:val="24"/>
        </w:rPr>
      </w:pPr>
    </w:p>
    <w:p>
      <w:pPr>
        <w:tabs>
          <w:tab w:val="left" w:pos="2022"/>
        </w:tabs>
        <w:spacing w:afterLines="20" w:line="360" w:lineRule="auto"/>
        <w:jc w:val="left"/>
        <w:rPr>
          <w:rFonts w:ascii="宋体" w:hAnsi="宋体"/>
          <w:b/>
          <w:sz w:val="24"/>
        </w:rPr>
      </w:pPr>
      <w:r>
        <w:rPr>
          <w:rFonts w:hint="eastAsia" w:ascii="宋体" w:hAnsi="宋体"/>
          <w:b/>
          <w:sz w:val="24"/>
        </w:rPr>
        <w:t>科目代码:611</w:t>
      </w:r>
    </w:p>
    <w:p>
      <w:pPr>
        <w:tabs>
          <w:tab w:val="left" w:pos="2022"/>
        </w:tabs>
        <w:spacing w:afterLines="20" w:line="360" w:lineRule="auto"/>
        <w:jc w:val="left"/>
        <w:rPr>
          <w:rFonts w:ascii="宋体" w:hAnsi="宋体"/>
          <w:b/>
          <w:sz w:val="24"/>
        </w:rPr>
      </w:pPr>
      <w:r>
        <w:rPr>
          <w:rFonts w:hint="eastAsia" w:ascii="宋体" w:hAnsi="宋体"/>
          <w:b/>
          <w:sz w:val="24"/>
        </w:rPr>
        <w:t>科目名称:分析化学(含仪器分析)</w:t>
      </w:r>
    </w:p>
    <w:p>
      <w:pPr>
        <w:adjustRightInd w:val="0"/>
        <w:snapToGrid w:val="0"/>
        <w:spacing w:beforeLines="50" w:afterLines="50" w:line="360" w:lineRule="auto"/>
        <w:ind w:right="-17" w:firstLine="403"/>
        <w:outlineLvl w:val="0"/>
        <w:rPr>
          <w:rFonts w:ascii="宋体" w:hAnsi="宋体"/>
          <w:sz w:val="24"/>
          <w:szCs w:val="24"/>
        </w:rPr>
      </w:pPr>
      <w:r>
        <w:rPr>
          <w:rFonts w:hint="eastAsia" w:ascii="宋体" w:hAnsi="宋体"/>
          <w:sz w:val="24"/>
          <w:szCs w:val="24"/>
        </w:rPr>
        <w:t>本《分析化学</w:t>
      </w:r>
      <w:r>
        <w:rPr>
          <w:rFonts w:hint="eastAsia" w:ascii="Times New Roman" w:hAnsi="Times New Roman" w:cs="Times New Roman"/>
          <w:sz w:val="24"/>
          <w:szCs w:val="24"/>
        </w:rPr>
        <w:t>（含</w:t>
      </w:r>
      <w:r>
        <w:rPr>
          <w:rFonts w:hint="eastAsia" w:ascii="宋体" w:hAnsi="宋体"/>
          <w:sz w:val="24"/>
          <w:szCs w:val="24"/>
        </w:rPr>
        <w:t>仪器分析</w:t>
      </w:r>
      <w:r>
        <w:rPr>
          <w:rFonts w:hint="eastAsia" w:ascii="Times New Roman" w:hAnsi="Times New Roman" w:cs="Times New Roman"/>
          <w:sz w:val="24"/>
          <w:szCs w:val="24"/>
        </w:rPr>
        <w:t>）</w:t>
      </w:r>
      <w:r>
        <w:rPr>
          <w:rFonts w:hint="eastAsia" w:ascii="宋体" w:hAnsi="宋体"/>
          <w:sz w:val="24"/>
          <w:szCs w:val="24"/>
        </w:rPr>
        <w:t>》考试大纲适用于报考临沂大学化学专业的硕士研究生入学考试。《分析化学</w:t>
      </w:r>
      <w:r>
        <w:rPr>
          <w:rFonts w:hint="eastAsia" w:ascii="Times New Roman" w:hAnsi="Times New Roman" w:cs="Times New Roman"/>
          <w:sz w:val="24"/>
          <w:szCs w:val="24"/>
        </w:rPr>
        <w:t>（含</w:t>
      </w:r>
      <w:r>
        <w:rPr>
          <w:rFonts w:hint="eastAsia" w:ascii="宋体" w:hAnsi="宋体"/>
          <w:sz w:val="24"/>
          <w:szCs w:val="24"/>
        </w:rPr>
        <w:t>仪器分析</w:t>
      </w:r>
      <w:r>
        <w:rPr>
          <w:rFonts w:hint="eastAsia" w:ascii="Times New Roman" w:hAnsi="Times New Roman" w:cs="Times New Roman"/>
          <w:sz w:val="24"/>
          <w:szCs w:val="24"/>
        </w:rPr>
        <w:t>）</w:t>
      </w:r>
      <w:r>
        <w:rPr>
          <w:rFonts w:hint="eastAsia" w:ascii="宋体" w:hAnsi="宋体"/>
          <w:sz w:val="24"/>
          <w:szCs w:val="24"/>
        </w:rPr>
        <w:t>》是大学本科化学专业的重要基础课，</w:t>
      </w:r>
      <w:r>
        <w:rPr>
          <w:rFonts w:ascii="宋体" w:hAnsi="宋体"/>
          <w:sz w:val="24"/>
          <w:szCs w:val="24"/>
        </w:rPr>
        <w:t>仪器分析是化学专业本科学生的一门专业</w:t>
      </w:r>
      <w:r>
        <w:rPr>
          <w:rFonts w:hint="eastAsia" w:ascii="宋体" w:hAnsi="宋体"/>
          <w:sz w:val="24"/>
          <w:szCs w:val="24"/>
        </w:rPr>
        <w:t>核心</w:t>
      </w:r>
      <w:r>
        <w:rPr>
          <w:rFonts w:ascii="宋体" w:hAnsi="宋体"/>
          <w:sz w:val="24"/>
          <w:szCs w:val="24"/>
        </w:rPr>
        <w:t>课程</w:t>
      </w:r>
      <w:r>
        <w:rPr>
          <w:rFonts w:hint="eastAsia" w:ascii="宋体" w:hAnsi="宋体"/>
          <w:sz w:val="24"/>
          <w:szCs w:val="24"/>
        </w:rPr>
        <w:t>。</w:t>
      </w:r>
      <w:r>
        <w:rPr>
          <w:rFonts w:ascii="宋体" w:hAnsi="宋体"/>
          <w:sz w:val="24"/>
          <w:szCs w:val="24"/>
        </w:rPr>
        <w:t>要求学生系统地理解和掌握化学分析及仪器分析的基本理论知识和基本分析方法，建立起严格的“定性”和“定量”的概念。掌握化学分析及仪器分析的基本实验操作和数据处理方法，了解分析化学在各领域的实际应用，具有较宽的知识面，能够对实际的分析问题提出较为合理的解决方案。</w:t>
      </w:r>
    </w:p>
    <w:p>
      <w:pPr>
        <w:tabs>
          <w:tab w:val="left" w:pos="2022"/>
        </w:tabs>
        <w:spacing w:afterLines="20" w:line="360" w:lineRule="auto"/>
        <w:jc w:val="left"/>
        <w:rPr>
          <w:rFonts w:ascii="宋体" w:hAnsi="宋体"/>
          <w:b/>
          <w:sz w:val="24"/>
        </w:rPr>
      </w:pPr>
      <w:r>
        <w:rPr>
          <w:rFonts w:hint="eastAsia" w:ascii="宋体" w:hAnsi="宋体"/>
          <w:b/>
          <w:sz w:val="24"/>
        </w:rPr>
        <w:t>考试时间:3小时</w:t>
      </w:r>
    </w:p>
    <w:p>
      <w:pPr>
        <w:tabs>
          <w:tab w:val="left" w:pos="2022"/>
        </w:tabs>
        <w:spacing w:afterLines="20" w:line="360" w:lineRule="auto"/>
        <w:jc w:val="left"/>
        <w:rPr>
          <w:rFonts w:ascii="宋体" w:hAnsi="宋体"/>
          <w:b/>
          <w:sz w:val="24"/>
        </w:rPr>
      </w:pPr>
      <w:r>
        <w:rPr>
          <w:rFonts w:hint="eastAsia" w:ascii="宋体" w:hAnsi="宋体"/>
          <w:b/>
          <w:sz w:val="24"/>
        </w:rPr>
        <w:t>考试方式:笔试</w:t>
      </w:r>
    </w:p>
    <w:p>
      <w:pPr>
        <w:tabs>
          <w:tab w:val="left" w:pos="2022"/>
        </w:tabs>
        <w:spacing w:afterLines="20" w:line="360" w:lineRule="auto"/>
        <w:jc w:val="left"/>
        <w:rPr>
          <w:rFonts w:ascii="宋体" w:hAnsi="宋体"/>
          <w:b/>
          <w:sz w:val="24"/>
        </w:rPr>
      </w:pPr>
      <w:r>
        <w:rPr>
          <w:rFonts w:hint="eastAsia" w:ascii="宋体" w:hAnsi="宋体"/>
          <w:b/>
          <w:sz w:val="24"/>
        </w:rPr>
        <w:t>总  分:150分（分析化学占80分，仪器分析占70分）</w:t>
      </w:r>
    </w:p>
    <w:p>
      <w:pPr>
        <w:adjustRightInd w:val="0"/>
        <w:snapToGrid w:val="0"/>
        <w:spacing w:line="300" w:lineRule="auto"/>
        <w:ind w:right="-17" w:firstLine="403"/>
        <w:outlineLvl w:val="0"/>
        <w:rPr>
          <w:rFonts w:ascii="宋体" w:hAnsi="宋体"/>
          <w:sz w:val="24"/>
          <w:szCs w:val="24"/>
        </w:rPr>
      </w:pPr>
    </w:p>
    <w:p>
      <w:pPr>
        <w:adjustRightInd w:val="0"/>
        <w:snapToGrid w:val="0"/>
        <w:spacing w:line="360" w:lineRule="auto"/>
        <w:ind w:right="-17"/>
        <w:outlineLvl w:val="0"/>
        <w:rPr>
          <w:rFonts w:ascii="宋体" w:hAnsi="宋体"/>
          <w:b/>
          <w:sz w:val="28"/>
          <w:szCs w:val="28"/>
        </w:rPr>
      </w:pPr>
      <w:r>
        <w:rPr>
          <w:rFonts w:hint="eastAsia" w:ascii="宋体" w:hAnsi="宋体"/>
          <w:b/>
          <w:sz w:val="28"/>
          <w:szCs w:val="28"/>
        </w:rPr>
        <w:t>一、</w:t>
      </w:r>
      <w:r>
        <w:rPr>
          <w:rFonts w:ascii="宋体" w:hAnsi="宋体"/>
          <w:b/>
          <w:sz w:val="28"/>
          <w:szCs w:val="28"/>
        </w:rPr>
        <w:t>考试内容</w:t>
      </w:r>
    </w:p>
    <w:p>
      <w:pPr>
        <w:adjustRightInd w:val="0"/>
        <w:snapToGrid w:val="0"/>
        <w:spacing w:line="360" w:lineRule="auto"/>
        <w:ind w:right="-17" w:firstLine="403"/>
        <w:outlineLvl w:val="0"/>
        <w:rPr>
          <w:rFonts w:ascii="宋体" w:hAnsi="宋体"/>
          <w:b/>
          <w:sz w:val="24"/>
          <w:szCs w:val="24"/>
        </w:rPr>
      </w:pPr>
      <w:r>
        <w:rPr>
          <w:rFonts w:hint="eastAsia" w:ascii="宋体" w:hAnsi="宋体"/>
          <w:b/>
          <w:sz w:val="24"/>
          <w:szCs w:val="24"/>
        </w:rPr>
        <w:t>第一部分  分析化学部分（80分）</w:t>
      </w:r>
    </w:p>
    <w:p>
      <w:pPr>
        <w:widowControl/>
        <w:shd w:val="clear" w:color="auto" w:fill="FFFFFF"/>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第1章概论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1.1分析化学的定义、任务和作用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1.2分析方法的分类与选择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1.3分析化学发展简史与发展趋势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1.4分析过程及分析结果的表示方法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1.5滴定分析法概述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1.6基准物质和标准溶液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1.7滴定分析中的计算 </w:t>
      </w:r>
    </w:p>
    <w:p>
      <w:pPr>
        <w:widowControl/>
        <w:shd w:val="clear" w:color="auto" w:fill="FFFFFF"/>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第2章分析试样的采集与处理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2.1试样的采集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2.2试样的制备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2.3试样的分解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2.4测定前的预处理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第3章分析化学中的误差与数据处理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3.1分析化学中的误差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3.2有效数字及其运算规则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3.3分析化学中的数据处理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3.4显著性检验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3.5可疑值取舍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3.6回归分析法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3.7提高分析结果准确度的方法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第4章分析化学中的质量保证与质量控制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4.1质量保证与质量控制概述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4.2分析全过程的质量保证与质量控制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4.3标准方法与标准物质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4.4不确定度和溯源性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4.5实验室认可、计量认证及审查认可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第5章酸碱滴定法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5.1溶液中的酸碱反应与平衡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5.2酸碱组分的平衡浓度与分布分数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5.3溶液中H'浓度的计算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5.4对数图解法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5.5酸碱缓冲溶液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5.6酸碱指示剂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5.7酸碱滴定原理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5.8终点误差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5.9酸碱滴定法的应用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5.10非水溶液中的酸碱滴定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第6章配位滴定法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6.1配位滴定中的滴定荆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6.2配位平衡常数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6.3副反应系数和条件稳定常数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6.4配位滴定法的基本原理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6.5准确滴定与分别滴定判别式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6.6配位滴定中酸度的控制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6.7提高配位滴定选择性的途径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6.8配位滴定方式及其应用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第7章氧化还原滴定法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7.1氧化还原平衡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7.2氧化还原滴定原理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7.3氧化还原滴定中的预处理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7.4常用的氧化还原滴定法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7.5氧化还原滴定结果的计算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第8章沉淀滴定法和滴定分析小结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8.1沉淀滴定法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8.2滴定分析小结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第9章重量分析法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9.1重量分析法概述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9.2沉淀的溶解度及其影响因素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9.3沉淀的类型及形成过程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9.4影响沉淀纯度的主要因素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9.5沉淀条件的选择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9.6有机沉淀剂 </w:t>
      </w:r>
    </w:p>
    <w:p>
      <w:pPr>
        <w:adjustRightInd w:val="0"/>
        <w:spacing w:line="360" w:lineRule="auto"/>
        <w:ind w:right="-17"/>
        <w:outlineLvl w:val="0"/>
        <w:rPr>
          <w:rFonts w:ascii="宋体" w:hAnsi="宋体"/>
          <w:b/>
          <w:sz w:val="24"/>
          <w:szCs w:val="24"/>
        </w:rPr>
      </w:pPr>
      <w:r>
        <w:rPr>
          <w:rFonts w:ascii="Arial" w:hAnsi="Arial" w:eastAsia="宋体" w:cs="Arial"/>
          <w:color w:val="111111"/>
          <w:kern w:val="0"/>
          <w:sz w:val="24"/>
          <w:szCs w:val="24"/>
        </w:rPr>
        <w:t>第10章吸光光度法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10.1物质对光的选择性吸收和光吸收的基本定律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10.2分光光度计及吸收光谱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10.3显色反应及其影响因素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10.4吸光光度分析及误差控制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10.5其他吸光光度法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10.6吸光光度法的应用 </w:t>
      </w:r>
      <w:r>
        <w:rPr>
          <w:rFonts w:ascii="Arial" w:hAnsi="Arial" w:eastAsia="宋体" w:cs="Arial"/>
          <w:color w:val="111111"/>
          <w:kern w:val="0"/>
          <w:sz w:val="24"/>
          <w:szCs w:val="24"/>
        </w:rPr>
        <w:br w:type="textWrapping"/>
      </w:r>
      <w:r>
        <w:rPr>
          <w:rFonts w:hint="eastAsia" w:ascii="宋体" w:hAnsi="宋体" w:eastAsia="宋体" w:cs="Arial"/>
          <w:color w:val="111111"/>
          <w:kern w:val="0"/>
          <w:sz w:val="24"/>
          <w:szCs w:val="24"/>
        </w:rPr>
        <w:t xml:space="preserve">※ </w:t>
      </w:r>
      <w:r>
        <w:rPr>
          <w:rFonts w:ascii="Arial" w:hAnsi="Arial" w:eastAsia="宋体" w:cs="Arial"/>
          <w:color w:val="111111"/>
          <w:kern w:val="0"/>
          <w:sz w:val="24"/>
          <w:szCs w:val="24"/>
        </w:rPr>
        <w:t>第11章分析化学中常用的分离和富集方法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11.1概述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11.2气态分离法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11.3沉淀分离法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11.4萃取分离法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11.5离子交换分离法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11.6色谱分离法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11.7电泳分离法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11.8气浮分离法 </w:t>
      </w:r>
      <w:r>
        <w:rPr>
          <w:rFonts w:ascii="Arial" w:hAnsi="Arial" w:eastAsia="宋体" w:cs="Arial"/>
          <w:color w:val="111111"/>
          <w:kern w:val="0"/>
          <w:sz w:val="24"/>
          <w:szCs w:val="24"/>
        </w:rPr>
        <w:br w:type="textWrapping"/>
      </w:r>
      <w:r>
        <w:rPr>
          <w:rFonts w:ascii="Arial" w:hAnsi="Arial" w:eastAsia="宋体" w:cs="Arial"/>
          <w:color w:val="111111"/>
          <w:kern w:val="0"/>
          <w:sz w:val="24"/>
          <w:szCs w:val="24"/>
        </w:rPr>
        <w:t>11.9膜分离法 </w:t>
      </w:r>
      <w:r>
        <w:rPr>
          <w:rFonts w:ascii="Arial" w:hAnsi="Arial" w:eastAsia="宋体" w:cs="Arial"/>
          <w:color w:val="111111"/>
          <w:kern w:val="0"/>
          <w:sz w:val="24"/>
          <w:szCs w:val="24"/>
        </w:rPr>
        <w:br w:type="textWrapping"/>
      </w:r>
    </w:p>
    <w:p>
      <w:pPr>
        <w:adjustRightInd w:val="0"/>
        <w:snapToGrid w:val="0"/>
        <w:spacing w:line="360" w:lineRule="auto"/>
        <w:ind w:right="-17" w:firstLine="403"/>
        <w:outlineLvl w:val="0"/>
        <w:rPr>
          <w:rFonts w:ascii="宋体" w:hAnsi="宋体"/>
          <w:b/>
          <w:sz w:val="24"/>
          <w:szCs w:val="24"/>
        </w:rPr>
      </w:pPr>
      <w:r>
        <w:rPr>
          <w:rFonts w:hint="eastAsia" w:ascii="宋体" w:hAnsi="宋体"/>
          <w:b/>
          <w:sz w:val="24"/>
          <w:szCs w:val="24"/>
        </w:rPr>
        <w:t>第二部分  仪器分析部分（70分）</w:t>
      </w:r>
    </w:p>
    <w:p>
      <w:pPr>
        <w:autoSpaceDE w:val="0"/>
        <w:autoSpaceDN w:val="0"/>
        <w:spacing w:line="360" w:lineRule="auto"/>
        <w:rPr>
          <w:rFonts w:ascii="Arial" w:hAnsi="Arial" w:eastAsia="宋体" w:cs="Arial"/>
          <w:color w:val="111111"/>
          <w:kern w:val="0"/>
          <w:sz w:val="24"/>
          <w:szCs w:val="24"/>
        </w:rPr>
      </w:pPr>
      <w:r>
        <w:rPr>
          <w:rFonts w:hint="eastAsia" w:ascii="Arial" w:hAnsi="Arial" w:eastAsia="宋体" w:cs="Arial"/>
          <w:color w:val="111111"/>
          <w:kern w:val="0"/>
          <w:sz w:val="24"/>
          <w:szCs w:val="24"/>
        </w:rPr>
        <w:t xml:space="preserve">第1章 </w:t>
      </w:r>
      <w:r>
        <w:rPr>
          <w:rFonts w:ascii="Arial" w:hAnsi="Arial" w:eastAsia="宋体" w:cs="Arial"/>
          <w:color w:val="111111"/>
          <w:kern w:val="0"/>
          <w:sz w:val="24"/>
          <w:szCs w:val="24"/>
        </w:rPr>
        <w:t>绪论</w:t>
      </w:r>
    </w:p>
    <w:p>
      <w:pPr>
        <w:autoSpaceDE w:val="0"/>
        <w:autoSpaceDN w:val="0"/>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第</w:t>
      </w:r>
      <w:r>
        <w:rPr>
          <w:rFonts w:hint="eastAsia" w:ascii="Arial" w:hAnsi="Arial" w:eastAsia="宋体" w:cs="Arial"/>
          <w:color w:val="111111"/>
          <w:kern w:val="0"/>
          <w:sz w:val="24"/>
          <w:szCs w:val="24"/>
        </w:rPr>
        <w:t>2</w:t>
      </w:r>
      <w:r>
        <w:rPr>
          <w:rFonts w:ascii="Arial" w:hAnsi="Arial" w:eastAsia="宋体" w:cs="Arial"/>
          <w:color w:val="111111"/>
          <w:kern w:val="0"/>
          <w:sz w:val="24"/>
          <w:szCs w:val="24"/>
        </w:rPr>
        <w:t>章 色谱分析法导论</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 xml:space="preserve">2.1 色谱法简介 </w:t>
      </w:r>
    </w:p>
    <w:p>
      <w:pPr>
        <w:tabs>
          <w:tab w:val="left" w:pos="0"/>
        </w:tabs>
        <w:autoSpaceDE w:val="0"/>
        <w:autoSpaceDN w:val="0"/>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 xml:space="preserve">2.2 色谱流出曲线及常用术语 </w:t>
      </w:r>
    </w:p>
    <w:p>
      <w:pPr>
        <w:tabs>
          <w:tab w:val="left" w:pos="0"/>
        </w:tabs>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 xml:space="preserve">2.3 色谱法的基本理论 </w:t>
      </w:r>
    </w:p>
    <w:p>
      <w:pPr>
        <w:tabs>
          <w:tab w:val="left" w:pos="284"/>
        </w:tabs>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2.4 色谱分离条件的选择</w:t>
      </w:r>
    </w:p>
    <w:p>
      <w:pPr>
        <w:tabs>
          <w:tab w:val="left" w:pos="284"/>
        </w:tabs>
        <w:autoSpaceDE w:val="0"/>
        <w:autoSpaceDN w:val="0"/>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 xml:space="preserve">2.5 色谱定性和定量分析方法 </w:t>
      </w:r>
    </w:p>
    <w:p>
      <w:pPr>
        <w:tabs>
          <w:tab w:val="center" w:pos="4153"/>
          <w:tab w:val="right" w:pos="8306"/>
        </w:tabs>
        <w:autoSpaceDE w:val="0"/>
        <w:autoSpaceDN w:val="0"/>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第</w:t>
      </w:r>
      <w:r>
        <w:rPr>
          <w:rFonts w:hint="eastAsia" w:ascii="Arial" w:hAnsi="Arial" w:eastAsia="宋体" w:cs="Arial"/>
          <w:color w:val="111111"/>
          <w:kern w:val="0"/>
          <w:sz w:val="24"/>
          <w:szCs w:val="24"/>
        </w:rPr>
        <w:t>3</w:t>
      </w:r>
      <w:r>
        <w:rPr>
          <w:rFonts w:ascii="Arial" w:hAnsi="Arial" w:eastAsia="宋体" w:cs="Arial"/>
          <w:color w:val="111111"/>
          <w:kern w:val="0"/>
          <w:sz w:val="24"/>
          <w:szCs w:val="24"/>
        </w:rPr>
        <w:t>章 气相色谱分析</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 xml:space="preserve">3.1 气相色谱仪 </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3.2 气相色谱检测器</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 xml:space="preserve">3.3 气相色谱分离条件的选择 </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 xml:space="preserve">3.4 气相色谱固定相及其选择 </w:t>
      </w:r>
    </w:p>
    <w:p>
      <w:pPr>
        <w:autoSpaceDE w:val="0"/>
        <w:autoSpaceDN w:val="0"/>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3.5 毛细管气相色谱法</w:t>
      </w:r>
    </w:p>
    <w:p>
      <w:pPr>
        <w:tabs>
          <w:tab w:val="center" w:pos="4153"/>
          <w:tab w:val="right" w:pos="8306"/>
        </w:tabs>
        <w:autoSpaceDE w:val="0"/>
        <w:autoSpaceDN w:val="0"/>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第</w:t>
      </w:r>
      <w:r>
        <w:rPr>
          <w:rFonts w:hint="eastAsia" w:ascii="Arial" w:hAnsi="Arial" w:eastAsia="宋体" w:cs="Arial"/>
          <w:color w:val="111111"/>
          <w:kern w:val="0"/>
          <w:sz w:val="24"/>
          <w:szCs w:val="24"/>
        </w:rPr>
        <w:t>4</w:t>
      </w:r>
      <w:r>
        <w:rPr>
          <w:rFonts w:ascii="Arial" w:hAnsi="Arial" w:eastAsia="宋体" w:cs="Arial"/>
          <w:color w:val="111111"/>
          <w:kern w:val="0"/>
          <w:sz w:val="24"/>
          <w:szCs w:val="24"/>
        </w:rPr>
        <w:t>章 高效液相色谱分析</w:t>
      </w:r>
    </w:p>
    <w:p>
      <w:pPr>
        <w:autoSpaceDE w:val="0"/>
        <w:autoSpaceDN w:val="0"/>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 xml:space="preserve">4.1 高效液相色谱法的特点 </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4.2 影响色谱峰扩展及色谱分离的因素</w:t>
      </w:r>
    </w:p>
    <w:p>
      <w:pPr>
        <w:autoSpaceDE w:val="0"/>
        <w:autoSpaceDN w:val="0"/>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4.3 高效液相色谱法的主要类型</w:t>
      </w:r>
    </w:p>
    <w:p>
      <w:pPr>
        <w:autoSpaceDE w:val="0"/>
        <w:autoSpaceDN w:val="0"/>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4.4 液相色谱法固定相和流动相</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 xml:space="preserve">4.5 高效液相色谱仪 </w:t>
      </w:r>
    </w:p>
    <w:p>
      <w:pPr>
        <w:autoSpaceDE w:val="0"/>
        <w:autoSpaceDN w:val="0"/>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4.6 高效毛细管电泳</w:t>
      </w:r>
    </w:p>
    <w:p>
      <w:pPr>
        <w:autoSpaceDE w:val="0"/>
        <w:autoSpaceDN w:val="0"/>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第</w:t>
      </w:r>
      <w:r>
        <w:rPr>
          <w:rFonts w:hint="eastAsia" w:ascii="Arial" w:hAnsi="Arial" w:eastAsia="宋体" w:cs="Arial"/>
          <w:color w:val="111111"/>
          <w:kern w:val="0"/>
          <w:sz w:val="24"/>
          <w:szCs w:val="24"/>
        </w:rPr>
        <w:t>5</w:t>
      </w:r>
      <w:r>
        <w:rPr>
          <w:rFonts w:ascii="Arial" w:hAnsi="Arial" w:eastAsia="宋体" w:cs="Arial"/>
          <w:color w:val="111111"/>
          <w:kern w:val="0"/>
          <w:sz w:val="24"/>
          <w:szCs w:val="24"/>
        </w:rPr>
        <w:t>章 电化学分析导论</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5.1 电化学分析法的发展与分类</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5.2 化学电池</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5.3 电极电位与液体接界电位</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5.4 电极的种类</w:t>
      </w:r>
    </w:p>
    <w:p>
      <w:pPr>
        <w:autoSpaceDE w:val="0"/>
        <w:autoSpaceDN w:val="0"/>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第</w:t>
      </w:r>
      <w:r>
        <w:rPr>
          <w:rFonts w:hint="eastAsia" w:ascii="Arial" w:hAnsi="Arial" w:eastAsia="宋体" w:cs="Arial"/>
          <w:color w:val="111111"/>
          <w:kern w:val="0"/>
          <w:sz w:val="24"/>
          <w:szCs w:val="24"/>
        </w:rPr>
        <w:t>6</w:t>
      </w:r>
      <w:r>
        <w:rPr>
          <w:rFonts w:ascii="Arial" w:hAnsi="Arial" w:eastAsia="宋体" w:cs="Arial"/>
          <w:color w:val="111111"/>
          <w:kern w:val="0"/>
          <w:sz w:val="24"/>
          <w:szCs w:val="24"/>
        </w:rPr>
        <w:t>章 电位分析法</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6.1 离子选择性电极和膜电位</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6.2 玻璃电极</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6.3 离子选择性电极的种类和性能</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6.4 离子选择性电极的性能参数</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6.5 直接电位法测定离子活（浓）度</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6.6 电位滴定法</w:t>
      </w:r>
    </w:p>
    <w:p>
      <w:pPr>
        <w:tabs>
          <w:tab w:val="center" w:pos="4153"/>
          <w:tab w:val="right" w:pos="8306"/>
        </w:tabs>
        <w:autoSpaceDE w:val="0"/>
        <w:autoSpaceDN w:val="0"/>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第</w:t>
      </w:r>
      <w:r>
        <w:rPr>
          <w:rFonts w:hint="eastAsia" w:ascii="Arial" w:hAnsi="Arial" w:eastAsia="宋体" w:cs="Arial"/>
          <w:color w:val="111111"/>
          <w:kern w:val="0"/>
          <w:sz w:val="24"/>
          <w:szCs w:val="24"/>
        </w:rPr>
        <w:t>7</w:t>
      </w:r>
      <w:r>
        <w:rPr>
          <w:rFonts w:ascii="Arial" w:hAnsi="Arial" w:eastAsia="宋体" w:cs="Arial"/>
          <w:color w:val="111111"/>
          <w:kern w:val="0"/>
          <w:sz w:val="24"/>
          <w:szCs w:val="24"/>
        </w:rPr>
        <w:t>章 伏安法和极谱法</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7.1 极谱分析的基本原理</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7.2 扩散电流</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7.3 半波电位</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7.4 干扰电流及其消除方法</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7.5 单扫描极谱法</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7.6 循环伏安法</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7.7 脉冲技术</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7.8 溶出伏安法</w:t>
      </w:r>
    </w:p>
    <w:p>
      <w:pPr>
        <w:autoSpaceDE w:val="0"/>
        <w:autoSpaceDN w:val="0"/>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第</w:t>
      </w:r>
      <w:r>
        <w:rPr>
          <w:rFonts w:hint="eastAsia" w:ascii="Arial" w:hAnsi="Arial" w:eastAsia="宋体" w:cs="Arial"/>
          <w:color w:val="111111"/>
          <w:kern w:val="0"/>
          <w:sz w:val="24"/>
          <w:szCs w:val="24"/>
        </w:rPr>
        <w:t>8</w:t>
      </w:r>
      <w:r>
        <w:rPr>
          <w:rFonts w:ascii="Arial" w:hAnsi="Arial" w:eastAsia="宋体" w:cs="Arial"/>
          <w:color w:val="111111"/>
          <w:kern w:val="0"/>
          <w:sz w:val="24"/>
          <w:szCs w:val="24"/>
        </w:rPr>
        <w:t>章 电解与库仑分析法</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8.1 电解分析的基本原理</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8.2 电解分析法及其应用</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8.3 库仑分析法</w:t>
      </w:r>
    </w:p>
    <w:p>
      <w:pPr>
        <w:autoSpaceDE w:val="0"/>
        <w:autoSpaceDN w:val="0"/>
        <w:spacing w:line="360" w:lineRule="auto"/>
        <w:jc w:val="left"/>
        <w:rPr>
          <w:rFonts w:ascii="Arial" w:hAnsi="Arial" w:eastAsia="宋体" w:cs="Arial"/>
          <w:color w:val="111111"/>
          <w:kern w:val="0"/>
          <w:sz w:val="24"/>
          <w:szCs w:val="24"/>
        </w:rPr>
      </w:pPr>
      <w:r>
        <w:rPr>
          <w:rFonts w:hint="eastAsia" w:ascii="宋体" w:hAnsi="宋体" w:eastAsia="宋体" w:cs="Arial"/>
          <w:color w:val="111111"/>
          <w:kern w:val="0"/>
          <w:sz w:val="24"/>
          <w:szCs w:val="24"/>
        </w:rPr>
        <w:t xml:space="preserve">※ </w:t>
      </w:r>
      <w:r>
        <w:rPr>
          <w:rFonts w:ascii="Arial" w:hAnsi="Arial" w:eastAsia="宋体" w:cs="Arial"/>
          <w:color w:val="111111"/>
          <w:kern w:val="0"/>
          <w:sz w:val="24"/>
          <w:szCs w:val="24"/>
        </w:rPr>
        <w:t>第</w:t>
      </w:r>
      <w:r>
        <w:rPr>
          <w:rFonts w:hint="eastAsia" w:ascii="Arial" w:hAnsi="Arial" w:eastAsia="宋体" w:cs="Arial"/>
          <w:color w:val="111111"/>
          <w:kern w:val="0"/>
          <w:sz w:val="24"/>
          <w:szCs w:val="24"/>
        </w:rPr>
        <w:t>9</w:t>
      </w:r>
      <w:r>
        <w:rPr>
          <w:rFonts w:ascii="Arial" w:hAnsi="Arial" w:eastAsia="宋体" w:cs="Arial"/>
          <w:color w:val="111111"/>
          <w:kern w:val="0"/>
          <w:sz w:val="24"/>
          <w:szCs w:val="24"/>
        </w:rPr>
        <w:t>章 光分析法导论</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9.1 电磁辐射和波动性</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9.2 辐射的量子力学性质</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9.3 光学分析仪器</w:t>
      </w:r>
    </w:p>
    <w:p>
      <w:pPr>
        <w:autoSpaceDE w:val="0"/>
        <w:autoSpaceDN w:val="0"/>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第</w:t>
      </w:r>
      <w:r>
        <w:rPr>
          <w:rFonts w:hint="eastAsia" w:ascii="Arial" w:hAnsi="Arial" w:eastAsia="宋体" w:cs="Arial"/>
          <w:color w:val="111111"/>
          <w:kern w:val="0"/>
          <w:sz w:val="24"/>
          <w:szCs w:val="24"/>
        </w:rPr>
        <w:t>10</w:t>
      </w:r>
      <w:r>
        <w:rPr>
          <w:rFonts w:ascii="Arial" w:hAnsi="Arial" w:eastAsia="宋体" w:cs="Arial"/>
          <w:color w:val="111111"/>
          <w:kern w:val="0"/>
          <w:sz w:val="24"/>
          <w:szCs w:val="24"/>
        </w:rPr>
        <w:t>章 原子发射光谱分析</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10.1 原子发射光谱法基本原理</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10.2 原子发射光谱仪</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10.3 原子发射光谱定性分析</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10.4 原子发射光谱定量分析</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10.5 原子发射光谱半定量分析法</w:t>
      </w:r>
    </w:p>
    <w:p>
      <w:pPr>
        <w:tabs>
          <w:tab w:val="center" w:pos="4153"/>
          <w:tab w:val="right" w:pos="8306"/>
        </w:tabs>
        <w:autoSpaceDE w:val="0"/>
        <w:autoSpaceDN w:val="0"/>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第</w:t>
      </w:r>
      <w:r>
        <w:rPr>
          <w:rFonts w:hint="eastAsia" w:ascii="Arial" w:hAnsi="Arial" w:eastAsia="宋体" w:cs="Arial"/>
          <w:color w:val="111111"/>
          <w:kern w:val="0"/>
          <w:sz w:val="24"/>
          <w:szCs w:val="24"/>
        </w:rPr>
        <w:t>11</w:t>
      </w:r>
      <w:r>
        <w:rPr>
          <w:rFonts w:ascii="Arial" w:hAnsi="Arial" w:eastAsia="宋体" w:cs="Arial"/>
          <w:color w:val="111111"/>
          <w:kern w:val="0"/>
          <w:sz w:val="24"/>
          <w:szCs w:val="24"/>
        </w:rPr>
        <w:t>章 原子吸收光谱分析</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11.1 概 述</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11.2 原子吸收光谱法原理</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11.3 原子吸收光谱仪器</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11.4 原子吸收光谱定量分析</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11.5 干扰及其抑制</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11.6 原子荧光光谱</w:t>
      </w:r>
    </w:p>
    <w:p>
      <w:pPr>
        <w:tabs>
          <w:tab w:val="center" w:pos="4153"/>
          <w:tab w:val="right" w:pos="8306"/>
        </w:tabs>
        <w:autoSpaceDE w:val="0"/>
        <w:autoSpaceDN w:val="0"/>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第</w:t>
      </w:r>
      <w:r>
        <w:rPr>
          <w:rFonts w:hint="eastAsia" w:ascii="Arial" w:hAnsi="Arial" w:eastAsia="宋体" w:cs="Arial"/>
          <w:color w:val="111111"/>
          <w:kern w:val="0"/>
          <w:sz w:val="24"/>
          <w:szCs w:val="24"/>
        </w:rPr>
        <w:t>12</w:t>
      </w:r>
      <w:r>
        <w:rPr>
          <w:rFonts w:ascii="Arial" w:hAnsi="Arial" w:eastAsia="宋体" w:cs="Arial"/>
          <w:color w:val="111111"/>
          <w:kern w:val="0"/>
          <w:sz w:val="24"/>
          <w:szCs w:val="24"/>
        </w:rPr>
        <w:t>章 紫外-可见吸收光谱分析</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12.1 分子吸收光谱</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12.2 化合物的紫外-可见吸收光谱</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12.3 紫外-可见分光光度计</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12.4 紫外-可见吸收光谱法的应用</w:t>
      </w:r>
    </w:p>
    <w:p>
      <w:pPr>
        <w:tabs>
          <w:tab w:val="center" w:pos="4153"/>
          <w:tab w:val="right" w:pos="8306"/>
        </w:tabs>
        <w:autoSpaceDE w:val="0"/>
        <w:autoSpaceDN w:val="0"/>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第</w:t>
      </w:r>
      <w:r>
        <w:rPr>
          <w:rFonts w:hint="eastAsia" w:ascii="Arial" w:hAnsi="Arial" w:eastAsia="宋体" w:cs="Arial"/>
          <w:color w:val="111111"/>
          <w:kern w:val="0"/>
          <w:sz w:val="24"/>
          <w:szCs w:val="24"/>
        </w:rPr>
        <w:t>13</w:t>
      </w:r>
      <w:r>
        <w:rPr>
          <w:rFonts w:ascii="Arial" w:hAnsi="Arial" w:eastAsia="宋体" w:cs="Arial"/>
          <w:color w:val="111111"/>
          <w:kern w:val="0"/>
          <w:sz w:val="24"/>
          <w:szCs w:val="24"/>
        </w:rPr>
        <w:t>章 红外吸收光谱</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w:t>
      </w:r>
      <w:r>
        <w:rPr>
          <w:rFonts w:hint="eastAsia" w:ascii="Arial" w:hAnsi="Arial" w:eastAsia="宋体" w:cs="Arial"/>
          <w:color w:val="111111"/>
          <w:kern w:val="0"/>
          <w:sz w:val="24"/>
          <w:szCs w:val="24"/>
        </w:rPr>
        <w:t>3</w:t>
      </w:r>
      <w:r>
        <w:rPr>
          <w:rFonts w:ascii="Arial" w:hAnsi="Arial" w:eastAsia="宋体" w:cs="Arial"/>
          <w:color w:val="111111"/>
          <w:kern w:val="0"/>
          <w:sz w:val="24"/>
          <w:szCs w:val="24"/>
        </w:rPr>
        <w:t>.1 引言</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w:t>
      </w:r>
      <w:r>
        <w:rPr>
          <w:rFonts w:hint="eastAsia" w:ascii="Arial" w:hAnsi="Arial" w:eastAsia="宋体" w:cs="Arial"/>
          <w:color w:val="111111"/>
          <w:kern w:val="0"/>
          <w:sz w:val="24"/>
          <w:szCs w:val="24"/>
        </w:rPr>
        <w:t>3</w:t>
      </w:r>
      <w:r>
        <w:rPr>
          <w:rFonts w:ascii="Arial" w:hAnsi="Arial" w:eastAsia="宋体" w:cs="Arial"/>
          <w:color w:val="111111"/>
          <w:kern w:val="0"/>
          <w:sz w:val="24"/>
          <w:szCs w:val="24"/>
        </w:rPr>
        <w:t>.2 基本原理</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w:t>
      </w:r>
      <w:r>
        <w:rPr>
          <w:rFonts w:hint="eastAsia" w:ascii="Arial" w:hAnsi="Arial" w:eastAsia="宋体" w:cs="Arial"/>
          <w:color w:val="111111"/>
          <w:kern w:val="0"/>
          <w:sz w:val="24"/>
          <w:szCs w:val="24"/>
        </w:rPr>
        <w:t>3</w:t>
      </w:r>
      <w:r>
        <w:rPr>
          <w:rFonts w:ascii="Arial" w:hAnsi="Arial" w:eastAsia="宋体" w:cs="Arial"/>
          <w:color w:val="111111"/>
          <w:kern w:val="0"/>
          <w:sz w:val="24"/>
          <w:szCs w:val="24"/>
        </w:rPr>
        <w:t xml:space="preserve">.3 基团频率和特征吸收 </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w:t>
      </w:r>
      <w:r>
        <w:rPr>
          <w:rFonts w:hint="eastAsia" w:ascii="Arial" w:hAnsi="Arial" w:eastAsia="宋体" w:cs="Arial"/>
          <w:color w:val="111111"/>
          <w:kern w:val="0"/>
          <w:sz w:val="24"/>
          <w:szCs w:val="24"/>
        </w:rPr>
        <w:t>3</w:t>
      </w:r>
      <w:r>
        <w:rPr>
          <w:rFonts w:ascii="Arial" w:hAnsi="Arial" w:eastAsia="宋体" w:cs="Arial"/>
          <w:color w:val="111111"/>
          <w:kern w:val="0"/>
          <w:sz w:val="24"/>
          <w:szCs w:val="24"/>
        </w:rPr>
        <w:t xml:space="preserve">.4 红外光谱仪 </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w:t>
      </w:r>
      <w:r>
        <w:rPr>
          <w:rFonts w:hint="eastAsia" w:ascii="Arial" w:hAnsi="Arial" w:eastAsia="宋体" w:cs="Arial"/>
          <w:color w:val="111111"/>
          <w:kern w:val="0"/>
          <w:sz w:val="24"/>
          <w:szCs w:val="24"/>
        </w:rPr>
        <w:t>3</w:t>
      </w:r>
      <w:r>
        <w:rPr>
          <w:rFonts w:ascii="Arial" w:hAnsi="Arial" w:eastAsia="宋体" w:cs="Arial"/>
          <w:color w:val="111111"/>
          <w:kern w:val="0"/>
          <w:sz w:val="24"/>
          <w:szCs w:val="24"/>
        </w:rPr>
        <w:t>.5 试样制备</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w:t>
      </w:r>
      <w:r>
        <w:rPr>
          <w:rFonts w:hint="eastAsia" w:ascii="Arial" w:hAnsi="Arial" w:eastAsia="宋体" w:cs="Arial"/>
          <w:color w:val="111111"/>
          <w:kern w:val="0"/>
          <w:sz w:val="24"/>
          <w:szCs w:val="24"/>
        </w:rPr>
        <w:t>3</w:t>
      </w:r>
      <w:r>
        <w:rPr>
          <w:rFonts w:ascii="Arial" w:hAnsi="Arial" w:eastAsia="宋体" w:cs="Arial"/>
          <w:color w:val="111111"/>
          <w:kern w:val="0"/>
          <w:sz w:val="24"/>
          <w:szCs w:val="24"/>
        </w:rPr>
        <w:t xml:space="preserve">.6 红外吸收光谱法的应用 </w:t>
      </w:r>
    </w:p>
    <w:p>
      <w:pPr>
        <w:tabs>
          <w:tab w:val="center" w:pos="4153"/>
          <w:tab w:val="right" w:pos="8306"/>
        </w:tabs>
        <w:autoSpaceDE w:val="0"/>
        <w:autoSpaceDN w:val="0"/>
        <w:spacing w:line="360" w:lineRule="auto"/>
        <w:jc w:val="left"/>
        <w:rPr>
          <w:rFonts w:ascii="Arial" w:hAnsi="Arial" w:eastAsia="宋体" w:cs="Arial"/>
          <w:color w:val="111111"/>
          <w:kern w:val="0"/>
          <w:sz w:val="24"/>
          <w:szCs w:val="24"/>
        </w:rPr>
      </w:pPr>
      <w:r>
        <w:rPr>
          <w:rFonts w:ascii="Arial" w:hAnsi="Arial" w:eastAsia="宋体" w:cs="Arial"/>
          <w:color w:val="111111"/>
          <w:kern w:val="0"/>
          <w:sz w:val="24"/>
          <w:szCs w:val="24"/>
        </w:rPr>
        <w:t>第</w:t>
      </w:r>
      <w:r>
        <w:rPr>
          <w:rFonts w:hint="eastAsia" w:ascii="Arial" w:hAnsi="Arial" w:eastAsia="宋体" w:cs="Arial"/>
          <w:color w:val="111111"/>
          <w:kern w:val="0"/>
          <w:sz w:val="24"/>
          <w:szCs w:val="24"/>
        </w:rPr>
        <w:t>14</w:t>
      </w:r>
      <w:r>
        <w:rPr>
          <w:rFonts w:ascii="Arial" w:hAnsi="Arial" w:eastAsia="宋体" w:cs="Arial"/>
          <w:color w:val="111111"/>
          <w:kern w:val="0"/>
          <w:sz w:val="24"/>
          <w:szCs w:val="24"/>
        </w:rPr>
        <w:t>章 分子发光分析</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w:t>
      </w:r>
      <w:r>
        <w:rPr>
          <w:rFonts w:hint="eastAsia" w:ascii="Arial" w:hAnsi="Arial" w:eastAsia="宋体" w:cs="Arial"/>
          <w:color w:val="111111"/>
          <w:kern w:val="0"/>
          <w:sz w:val="24"/>
          <w:szCs w:val="24"/>
        </w:rPr>
        <w:t>4</w:t>
      </w:r>
      <w:r>
        <w:rPr>
          <w:rFonts w:ascii="Arial" w:hAnsi="Arial" w:eastAsia="宋体" w:cs="Arial"/>
          <w:color w:val="111111"/>
          <w:kern w:val="0"/>
          <w:sz w:val="24"/>
          <w:szCs w:val="24"/>
        </w:rPr>
        <w:t xml:space="preserve">.1 荧光和磷光光谱法 </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w:t>
      </w:r>
      <w:r>
        <w:rPr>
          <w:rFonts w:hint="eastAsia" w:ascii="Arial" w:hAnsi="Arial" w:eastAsia="宋体" w:cs="Arial"/>
          <w:color w:val="111111"/>
          <w:kern w:val="0"/>
          <w:sz w:val="24"/>
          <w:szCs w:val="24"/>
        </w:rPr>
        <w:t>4</w:t>
      </w:r>
      <w:r>
        <w:rPr>
          <w:rFonts w:ascii="Arial" w:hAnsi="Arial" w:eastAsia="宋体" w:cs="Arial"/>
          <w:color w:val="111111"/>
          <w:kern w:val="0"/>
          <w:sz w:val="24"/>
          <w:szCs w:val="24"/>
        </w:rPr>
        <w:t xml:space="preserve">.2 化学发光分析法 </w:t>
      </w:r>
    </w:p>
    <w:p>
      <w:pPr>
        <w:tabs>
          <w:tab w:val="center" w:pos="4153"/>
          <w:tab w:val="right" w:pos="8306"/>
        </w:tabs>
        <w:autoSpaceDE w:val="0"/>
        <w:autoSpaceDN w:val="0"/>
        <w:spacing w:line="360" w:lineRule="auto"/>
        <w:jc w:val="left"/>
        <w:rPr>
          <w:rFonts w:ascii="Arial" w:hAnsi="Arial" w:eastAsia="宋体" w:cs="Arial"/>
          <w:color w:val="111111"/>
          <w:kern w:val="0"/>
          <w:sz w:val="24"/>
          <w:szCs w:val="24"/>
        </w:rPr>
      </w:pPr>
      <w:r>
        <w:rPr>
          <w:rFonts w:hint="eastAsia" w:ascii="宋体" w:hAnsi="宋体" w:eastAsia="宋体" w:cs="Arial"/>
          <w:color w:val="111111"/>
          <w:kern w:val="0"/>
          <w:sz w:val="24"/>
          <w:szCs w:val="24"/>
        </w:rPr>
        <w:t>※</w:t>
      </w:r>
      <w:r>
        <w:rPr>
          <w:rFonts w:hint="eastAsia" w:ascii="Arial" w:hAnsi="Arial" w:eastAsia="宋体" w:cs="Arial"/>
          <w:color w:val="111111"/>
          <w:kern w:val="0"/>
          <w:sz w:val="24"/>
          <w:szCs w:val="24"/>
        </w:rPr>
        <w:t xml:space="preserve"> </w:t>
      </w:r>
      <w:r>
        <w:rPr>
          <w:rFonts w:ascii="Arial" w:hAnsi="Arial" w:eastAsia="宋体" w:cs="Arial"/>
          <w:color w:val="111111"/>
          <w:kern w:val="0"/>
          <w:sz w:val="24"/>
          <w:szCs w:val="24"/>
        </w:rPr>
        <w:t>第</w:t>
      </w:r>
      <w:r>
        <w:rPr>
          <w:rFonts w:hint="eastAsia" w:ascii="Arial" w:hAnsi="Arial" w:eastAsia="宋体" w:cs="Arial"/>
          <w:color w:val="111111"/>
          <w:kern w:val="0"/>
          <w:sz w:val="24"/>
          <w:szCs w:val="24"/>
        </w:rPr>
        <w:t>15</w:t>
      </w:r>
      <w:r>
        <w:rPr>
          <w:rFonts w:ascii="Arial" w:hAnsi="Arial" w:eastAsia="宋体" w:cs="Arial"/>
          <w:color w:val="111111"/>
          <w:kern w:val="0"/>
          <w:sz w:val="24"/>
          <w:szCs w:val="24"/>
        </w:rPr>
        <w:t>章 核磁共振波谱分析</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w:t>
      </w:r>
      <w:r>
        <w:rPr>
          <w:rFonts w:hint="eastAsia" w:ascii="Arial" w:hAnsi="Arial" w:eastAsia="宋体" w:cs="Arial"/>
          <w:color w:val="111111"/>
          <w:kern w:val="0"/>
          <w:sz w:val="24"/>
          <w:szCs w:val="24"/>
        </w:rPr>
        <w:t>5</w:t>
      </w:r>
      <w:r>
        <w:rPr>
          <w:rFonts w:ascii="Arial" w:hAnsi="Arial" w:eastAsia="宋体" w:cs="Arial"/>
          <w:color w:val="111111"/>
          <w:kern w:val="0"/>
          <w:sz w:val="24"/>
          <w:szCs w:val="24"/>
        </w:rPr>
        <w:t xml:space="preserve">.1 基本原理 </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w:t>
      </w:r>
      <w:r>
        <w:rPr>
          <w:rFonts w:hint="eastAsia" w:ascii="Arial" w:hAnsi="Arial" w:eastAsia="宋体" w:cs="Arial"/>
          <w:color w:val="111111"/>
          <w:kern w:val="0"/>
          <w:sz w:val="24"/>
          <w:szCs w:val="24"/>
        </w:rPr>
        <w:t>5</w:t>
      </w:r>
      <w:r>
        <w:rPr>
          <w:rFonts w:ascii="Arial" w:hAnsi="Arial" w:eastAsia="宋体" w:cs="Arial"/>
          <w:color w:val="111111"/>
          <w:kern w:val="0"/>
          <w:sz w:val="24"/>
          <w:szCs w:val="24"/>
        </w:rPr>
        <w:t xml:space="preserve">.2 核磁共振波谱仪和试样的制备 </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w:t>
      </w:r>
      <w:r>
        <w:rPr>
          <w:rFonts w:hint="eastAsia" w:ascii="Arial" w:hAnsi="Arial" w:eastAsia="宋体" w:cs="Arial"/>
          <w:color w:val="111111"/>
          <w:kern w:val="0"/>
          <w:sz w:val="24"/>
          <w:szCs w:val="24"/>
        </w:rPr>
        <w:t>5</w:t>
      </w:r>
      <w:r>
        <w:rPr>
          <w:rFonts w:ascii="Arial" w:hAnsi="Arial" w:eastAsia="宋体" w:cs="Arial"/>
          <w:color w:val="111111"/>
          <w:kern w:val="0"/>
          <w:sz w:val="24"/>
          <w:szCs w:val="24"/>
        </w:rPr>
        <w:t xml:space="preserve">.3 化学位移和核磁共振波谱 </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w:t>
      </w:r>
      <w:r>
        <w:rPr>
          <w:rFonts w:hint="eastAsia" w:ascii="Arial" w:hAnsi="Arial" w:eastAsia="宋体" w:cs="Arial"/>
          <w:color w:val="111111"/>
          <w:kern w:val="0"/>
          <w:sz w:val="24"/>
          <w:szCs w:val="24"/>
        </w:rPr>
        <w:t>5</w:t>
      </w:r>
      <w:r>
        <w:rPr>
          <w:rFonts w:ascii="Arial" w:hAnsi="Arial" w:eastAsia="宋体" w:cs="Arial"/>
          <w:color w:val="111111"/>
          <w:kern w:val="0"/>
          <w:sz w:val="24"/>
          <w:szCs w:val="24"/>
        </w:rPr>
        <w:t xml:space="preserve">.4 简单自旋偶合和自旋分裂 </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w:t>
      </w:r>
      <w:r>
        <w:rPr>
          <w:rFonts w:hint="eastAsia" w:ascii="Arial" w:hAnsi="Arial" w:eastAsia="宋体" w:cs="Arial"/>
          <w:color w:val="111111"/>
          <w:kern w:val="0"/>
          <w:sz w:val="24"/>
          <w:szCs w:val="24"/>
        </w:rPr>
        <w:t>5</w:t>
      </w:r>
      <w:r>
        <w:rPr>
          <w:rFonts w:ascii="Arial" w:hAnsi="Arial" w:eastAsia="宋体" w:cs="Arial"/>
          <w:color w:val="111111"/>
          <w:kern w:val="0"/>
          <w:sz w:val="24"/>
          <w:szCs w:val="24"/>
        </w:rPr>
        <w:t xml:space="preserve">.5 核磁共振波谱法的应用 </w:t>
      </w:r>
    </w:p>
    <w:p>
      <w:pPr>
        <w:autoSpaceDE w:val="0"/>
        <w:autoSpaceDN w:val="0"/>
        <w:spacing w:line="360" w:lineRule="auto"/>
        <w:rPr>
          <w:rFonts w:ascii="Arial" w:hAnsi="Arial" w:eastAsia="宋体" w:cs="Arial"/>
          <w:color w:val="111111"/>
          <w:kern w:val="0"/>
          <w:sz w:val="24"/>
          <w:szCs w:val="24"/>
        </w:rPr>
      </w:pPr>
      <w:r>
        <w:rPr>
          <w:rFonts w:hint="eastAsia" w:ascii="宋体" w:hAnsi="宋体" w:eastAsia="宋体" w:cs="Arial"/>
          <w:color w:val="111111"/>
          <w:kern w:val="0"/>
          <w:sz w:val="24"/>
          <w:szCs w:val="24"/>
        </w:rPr>
        <w:t xml:space="preserve">※ </w:t>
      </w:r>
      <w:r>
        <w:rPr>
          <w:rFonts w:ascii="Arial" w:hAnsi="Arial" w:eastAsia="宋体" w:cs="Arial"/>
          <w:color w:val="111111"/>
          <w:kern w:val="0"/>
          <w:sz w:val="24"/>
          <w:szCs w:val="24"/>
        </w:rPr>
        <w:t>第</w:t>
      </w:r>
      <w:r>
        <w:rPr>
          <w:rFonts w:hint="eastAsia" w:ascii="Arial" w:hAnsi="Arial" w:eastAsia="宋体" w:cs="Arial"/>
          <w:color w:val="111111"/>
          <w:kern w:val="0"/>
          <w:sz w:val="24"/>
          <w:szCs w:val="24"/>
        </w:rPr>
        <w:t>16</w:t>
      </w:r>
      <w:r>
        <w:rPr>
          <w:rFonts w:ascii="Arial" w:hAnsi="Arial" w:eastAsia="宋体" w:cs="Arial"/>
          <w:color w:val="111111"/>
          <w:kern w:val="0"/>
          <w:sz w:val="24"/>
          <w:szCs w:val="24"/>
        </w:rPr>
        <w:t>章 分子质谱分析</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w:t>
      </w:r>
      <w:r>
        <w:rPr>
          <w:rFonts w:hint="eastAsia" w:ascii="Arial" w:hAnsi="Arial" w:eastAsia="宋体" w:cs="Arial"/>
          <w:color w:val="111111"/>
          <w:kern w:val="0"/>
          <w:sz w:val="24"/>
          <w:szCs w:val="24"/>
        </w:rPr>
        <w:t>6</w:t>
      </w:r>
      <w:r>
        <w:rPr>
          <w:rFonts w:ascii="Arial" w:hAnsi="Arial" w:eastAsia="宋体" w:cs="Arial"/>
          <w:color w:val="111111"/>
          <w:kern w:val="0"/>
          <w:sz w:val="24"/>
          <w:szCs w:val="24"/>
        </w:rPr>
        <w:t xml:space="preserve">.1 质谱仪 </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w:t>
      </w:r>
      <w:r>
        <w:rPr>
          <w:rFonts w:hint="eastAsia" w:ascii="Arial" w:hAnsi="Arial" w:eastAsia="宋体" w:cs="Arial"/>
          <w:color w:val="111111"/>
          <w:kern w:val="0"/>
          <w:sz w:val="24"/>
          <w:szCs w:val="24"/>
        </w:rPr>
        <w:t>6</w:t>
      </w:r>
      <w:r>
        <w:rPr>
          <w:rFonts w:ascii="Arial" w:hAnsi="Arial" w:eastAsia="宋体" w:cs="Arial"/>
          <w:color w:val="111111"/>
          <w:kern w:val="0"/>
          <w:sz w:val="24"/>
          <w:szCs w:val="24"/>
        </w:rPr>
        <w:t xml:space="preserve">.2 离子峰的主要类型 </w:t>
      </w:r>
    </w:p>
    <w:p>
      <w:pPr>
        <w:autoSpaceDE w:val="0"/>
        <w:autoSpaceDN w:val="0"/>
        <w:spacing w:line="360" w:lineRule="auto"/>
        <w:rPr>
          <w:rFonts w:ascii="Arial" w:hAnsi="Arial" w:eastAsia="宋体" w:cs="Arial"/>
          <w:color w:val="111111"/>
          <w:kern w:val="0"/>
          <w:sz w:val="24"/>
          <w:szCs w:val="24"/>
        </w:rPr>
      </w:pPr>
      <w:r>
        <w:rPr>
          <w:rFonts w:ascii="Arial" w:hAnsi="Arial" w:eastAsia="宋体" w:cs="Arial"/>
          <w:color w:val="111111"/>
          <w:kern w:val="0"/>
          <w:sz w:val="24"/>
          <w:szCs w:val="24"/>
        </w:rPr>
        <w:t>1</w:t>
      </w:r>
      <w:r>
        <w:rPr>
          <w:rFonts w:hint="eastAsia" w:ascii="Arial" w:hAnsi="Arial" w:eastAsia="宋体" w:cs="Arial"/>
          <w:color w:val="111111"/>
          <w:kern w:val="0"/>
          <w:sz w:val="24"/>
          <w:szCs w:val="24"/>
        </w:rPr>
        <w:t>6</w:t>
      </w:r>
      <w:r>
        <w:rPr>
          <w:rFonts w:ascii="Arial" w:hAnsi="Arial" w:eastAsia="宋体" w:cs="Arial"/>
          <w:color w:val="111111"/>
          <w:kern w:val="0"/>
          <w:sz w:val="24"/>
          <w:szCs w:val="24"/>
        </w:rPr>
        <w:t xml:space="preserve">.3 有机化合物的质谱 </w:t>
      </w:r>
    </w:p>
    <w:p>
      <w:pPr>
        <w:autoSpaceDE w:val="0"/>
        <w:autoSpaceDN w:val="0"/>
        <w:spacing w:line="360" w:lineRule="auto"/>
        <w:contextualSpacing/>
        <w:rPr>
          <w:rFonts w:ascii="Arial" w:hAnsi="Arial" w:eastAsia="宋体" w:cs="Arial"/>
          <w:color w:val="111111"/>
          <w:kern w:val="0"/>
          <w:sz w:val="24"/>
          <w:szCs w:val="24"/>
        </w:rPr>
      </w:pPr>
    </w:p>
    <w:p>
      <w:pPr>
        <w:autoSpaceDE w:val="0"/>
        <w:autoSpaceDN w:val="0"/>
        <w:spacing w:line="360" w:lineRule="auto"/>
        <w:contextualSpacing/>
        <w:rPr>
          <w:rFonts w:ascii="Arial" w:hAnsi="Arial" w:eastAsia="宋体" w:cs="Arial"/>
          <w:color w:val="111111"/>
          <w:kern w:val="0"/>
          <w:sz w:val="24"/>
          <w:szCs w:val="24"/>
        </w:rPr>
      </w:pPr>
      <w:r>
        <w:rPr>
          <w:rFonts w:hint="eastAsia" w:ascii="Arial" w:hAnsi="Arial" w:eastAsia="宋体" w:cs="Arial"/>
          <w:color w:val="111111"/>
          <w:kern w:val="0"/>
          <w:sz w:val="24"/>
          <w:szCs w:val="24"/>
        </w:rPr>
        <w:t>注：标“※”号的内容为非必考内容</w:t>
      </w:r>
    </w:p>
    <w:p>
      <w:pPr>
        <w:autoSpaceDE w:val="0"/>
        <w:autoSpaceDN w:val="0"/>
        <w:spacing w:line="360" w:lineRule="auto"/>
        <w:contextualSpacing/>
        <w:rPr>
          <w:rFonts w:ascii="Arial" w:hAnsi="Arial" w:eastAsia="宋体" w:cs="Arial"/>
          <w:color w:val="111111"/>
          <w:kern w:val="0"/>
          <w:sz w:val="24"/>
          <w:szCs w:val="24"/>
        </w:rPr>
      </w:pPr>
    </w:p>
    <w:p>
      <w:pPr>
        <w:autoSpaceDE w:val="0"/>
        <w:autoSpaceDN w:val="0"/>
        <w:spacing w:line="360" w:lineRule="auto"/>
        <w:contextualSpacing/>
        <w:rPr>
          <w:rFonts w:ascii="宋体" w:hAnsi="宋体"/>
          <w:b/>
          <w:sz w:val="24"/>
          <w:szCs w:val="24"/>
        </w:rPr>
      </w:pPr>
      <w:r>
        <w:rPr>
          <w:rFonts w:hint="eastAsia" w:ascii="宋体" w:hAnsi="宋体"/>
          <w:b/>
          <w:sz w:val="24"/>
          <w:szCs w:val="24"/>
        </w:rPr>
        <w:t>二</w:t>
      </w:r>
      <w:r>
        <w:rPr>
          <w:rFonts w:ascii="宋体" w:hAnsi="宋体"/>
          <w:b/>
          <w:sz w:val="24"/>
          <w:szCs w:val="24"/>
        </w:rPr>
        <w:t>、参考书目</w:t>
      </w:r>
    </w:p>
    <w:p>
      <w:pPr>
        <w:autoSpaceDE w:val="0"/>
        <w:autoSpaceDN w:val="0"/>
        <w:spacing w:line="360" w:lineRule="auto"/>
        <w:contextualSpacing/>
        <w:rPr>
          <w:rFonts w:ascii="Arial" w:hAnsi="Arial" w:eastAsia="宋体" w:cs="Arial"/>
          <w:color w:val="111111"/>
          <w:kern w:val="0"/>
          <w:sz w:val="24"/>
          <w:szCs w:val="24"/>
        </w:rPr>
      </w:pPr>
      <w:r>
        <w:rPr>
          <w:rFonts w:hint="eastAsia" w:ascii="宋体" w:hAnsi="宋体"/>
          <w:sz w:val="24"/>
          <w:szCs w:val="24"/>
        </w:rPr>
        <w:t>1、</w:t>
      </w:r>
      <w:r>
        <w:rPr>
          <w:rFonts w:hint="eastAsia" w:ascii="Arial" w:hAnsi="Arial" w:eastAsia="宋体" w:cs="Arial"/>
          <w:color w:val="111111"/>
          <w:kern w:val="0"/>
          <w:sz w:val="24"/>
          <w:szCs w:val="24"/>
        </w:rPr>
        <w:t>《分析化学》武汉大学编，高教出版社，第六版；</w:t>
      </w:r>
    </w:p>
    <w:p>
      <w:pPr>
        <w:autoSpaceDE w:val="0"/>
        <w:autoSpaceDN w:val="0"/>
        <w:spacing w:line="360" w:lineRule="auto"/>
        <w:contextualSpacing/>
        <w:rPr>
          <w:rFonts w:ascii="Arial" w:hAnsi="Arial" w:eastAsia="宋体" w:cs="Arial"/>
          <w:color w:val="111111"/>
          <w:kern w:val="0"/>
          <w:sz w:val="24"/>
          <w:szCs w:val="24"/>
        </w:rPr>
      </w:pPr>
      <w:r>
        <w:rPr>
          <w:rFonts w:hint="eastAsia" w:ascii="Arial" w:hAnsi="Arial" w:eastAsia="宋体" w:cs="Arial"/>
          <w:color w:val="111111"/>
          <w:kern w:val="0"/>
          <w:sz w:val="24"/>
          <w:szCs w:val="24"/>
        </w:rPr>
        <w:t>2、《仪器分析》，方惠群、于俊生、史坚主编，科学出版社2018年</w:t>
      </w:r>
    </w:p>
    <w:p>
      <w:pPr>
        <w:adjustRightInd w:val="0"/>
        <w:spacing w:line="360" w:lineRule="auto"/>
        <w:ind w:right="-17"/>
        <w:contextualSpacing/>
        <w:outlineLvl w:val="0"/>
        <w:rPr>
          <w:rFonts w:ascii="宋体" w:hAnsi="宋体"/>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51A27"/>
    <w:rsid w:val="00023263"/>
    <w:rsid w:val="0003333C"/>
    <w:rsid w:val="0005638F"/>
    <w:rsid w:val="00084C56"/>
    <w:rsid w:val="000E63FD"/>
    <w:rsid w:val="00205E55"/>
    <w:rsid w:val="0021235E"/>
    <w:rsid w:val="00274049"/>
    <w:rsid w:val="002C2FB3"/>
    <w:rsid w:val="002D7B6F"/>
    <w:rsid w:val="002E1E16"/>
    <w:rsid w:val="0039321A"/>
    <w:rsid w:val="003A1450"/>
    <w:rsid w:val="0040696D"/>
    <w:rsid w:val="004235F6"/>
    <w:rsid w:val="0043071F"/>
    <w:rsid w:val="00476629"/>
    <w:rsid w:val="004B4915"/>
    <w:rsid w:val="005B271B"/>
    <w:rsid w:val="005F2160"/>
    <w:rsid w:val="006576CF"/>
    <w:rsid w:val="00693D8F"/>
    <w:rsid w:val="006A45C8"/>
    <w:rsid w:val="006D3FE6"/>
    <w:rsid w:val="006E3DA9"/>
    <w:rsid w:val="00735DEC"/>
    <w:rsid w:val="007A0D7E"/>
    <w:rsid w:val="007E0BF3"/>
    <w:rsid w:val="007F6624"/>
    <w:rsid w:val="0080327D"/>
    <w:rsid w:val="00843260"/>
    <w:rsid w:val="008D5E97"/>
    <w:rsid w:val="008F4CC9"/>
    <w:rsid w:val="0090266B"/>
    <w:rsid w:val="009519A0"/>
    <w:rsid w:val="00A748FF"/>
    <w:rsid w:val="00B10313"/>
    <w:rsid w:val="00B63420"/>
    <w:rsid w:val="00BC32AC"/>
    <w:rsid w:val="00BC6007"/>
    <w:rsid w:val="00BD65B2"/>
    <w:rsid w:val="00BD6B18"/>
    <w:rsid w:val="00C6643D"/>
    <w:rsid w:val="00C833BF"/>
    <w:rsid w:val="00D51A27"/>
    <w:rsid w:val="00D720D4"/>
    <w:rsid w:val="00E16C8D"/>
    <w:rsid w:val="00EE7B4C"/>
    <w:rsid w:val="00F773CE"/>
    <w:rsid w:val="00FD3F7B"/>
    <w:rsid w:val="053A73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8"/>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标题 3 Char"/>
    <w:basedOn w:val="7"/>
    <w:link w:val="2"/>
    <w:qFormat/>
    <w:uiPriority w:val="9"/>
    <w:rPr>
      <w:rFonts w:ascii="宋体" w:hAnsi="宋体" w:eastAsia="宋体" w:cs="宋体"/>
      <w:b/>
      <w:bCs/>
      <w:kern w:val="0"/>
      <w:sz w:val="27"/>
      <w:szCs w:val="27"/>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B334E-BB54-4663-93BF-7CD69E95B7A7}">
  <ds:schemaRefs/>
</ds:datastoreItem>
</file>

<file path=docProps/app.xml><?xml version="1.0" encoding="utf-8"?>
<Properties xmlns="http://schemas.openxmlformats.org/officeDocument/2006/extended-properties" xmlns:vt="http://schemas.openxmlformats.org/officeDocument/2006/docPropsVTypes">
  <Template>Normal</Template>
  <Pages>7</Pages>
  <Words>417</Words>
  <Characters>2382</Characters>
  <Lines>19</Lines>
  <Paragraphs>5</Paragraphs>
  <TotalTime>234</TotalTime>
  <ScaleCrop>false</ScaleCrop>
  <LinksUpToDate>false</LinksUpToDate>
  <CharactersWithSpaces>2794</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2018-09-08T01:00:00Z</dcterms:created>
  <dc:creator>admin</dc:creator>
  <cp:lastModifiedBy>RACE</cp:lastModifiedBy>
  <dcterms:modified xsi:type="dcterms:W3CDTF">2019-09-23T03:40:04Z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