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7" w:lineRule="atLeast"/>
        <w:ind w:left="0" w:right="0" w:firstLine="420"/>
        <w:jc w:val="center"/>
        <w:rPr>
          <w:rFonts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sz w:val="32"/>
          <w:szCs w:val="32"/>
          <w:bdr w:val="none" w:color="auto" w:sz="0" w:space="0"/>
          <w:shd w:val="clear" w:fill="F7F7F7"/>
        </w:rPr>
        <w:t>安徽建筑大学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7" w:lineRule="atLeast"/>
        <w:ind w:left="0" w:right="0" w:firstLine="420"/>
        <w:jc w:val="center"/>
        <w:rPr>
          <w:rFonts w:hint="eastAsia" w:ascii="微软雅黑" w:hAnsi="微软雅黑" w:eastAsia="微软雅黑" w:cs="微软雅黑"/>
          <w:i w:val="0"/>
          <w:caps w:val="0"/>
          <w:color w:val="333333"/>
          <w:spacing w:val="0"/>
          <w:sz w:val="13"/>
          <w:szCs w:val="13"/>
        </w:rPr>
      </w:pPr>
      <w:bookmarkStart w:id="0" w:name="_GoBack"/>
      <w:r>
        <w:rPr>
          <w:rStyle w:val="5"/>
          <w:rFonts w:hint="eastAsia" w:ascii="宋体" w:hAnsi="宋体" w:eastAsia="宋体" w:cs="宋体"/>
          <w:b/>
          <w:i w:val="0"/>
          <w:caps w:val="0"/>
          <w:color w:val="333333"/>
          <w:spacing w:val="0"/>
          <w:sz w:val="32"/>
          <w:szCs w:val="32"/>
          <w:bdr w:val="none" w:color="auto" w:sz="0" w:space="0"/>
          <w:shd w:val="clear" w:fill="F7F7F7"/>
        </w:rPr>
        <w:t>材料科学与工程硕士学位研究生培养方案</w:t>
      </w:r>
    </w:p>
    <w:bookmarkEnd w:id="0"/>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156" w:beforeAutospacing="0" w:after="100" w:afterAutospacing="0" w:line="460" w:lineRule="atLeast"/>
        <w:ind w:left="0" w:right="0" w:firstLine="482"/>
        <w:jc w:val="center"/>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 （专业代码：0805　授予工学硕士学位）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一、学科专业/领域简介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材料科学与工程为安徽省省级博士点立项建设单位建设学科。本学科点依托学校土建类学科专业优势，紧密围绕“大土建”所涉及的建筑结构材料和功能材料，开展材料结构与性能的理论和工程应用研究，已形成建筑结构与功能材料、功能高分子与化学建材、环境功能材料和材料加工工程等建筑与土木工程材料的学科特色和研究方向，其中材料学为安徽省重点学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二、培养目标</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材料科学与工程专业按照一级学科培养。硕士学位获得者应能系统、深入地掌握材料科学与工程学科的专业知识，了解本学科的现状、发展动态和国际学术研究的前沿；能开展具有较高学术意义或实用价值的科研工作，并有一定的创新能力和成果；能在材料的设计、合成、改性、加工成型及应用等领域从事科学研究、技术开发、工艺设计、经济管理等方面工作；能较熟练地掌握一门外国语，具有一定的写作能力和进行国际交流的能力；身体健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 三、研究方向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1、建筑结构与功能材料</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（1）水泥低能耗制备与高效应用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（2）高性能混凝土微观结构与机理研究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（3）矿产资源及固体废弃物综合利用研究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2、功能高分子与化学建材方向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（1）功能高分子设计、合成及改性技术研究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（2）高分子材料高性能化的化学过程研究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（3）水溶性高分子化学合成与功能化研究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3、环境与能源功能材料方向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（1）功能纳米材料合成制备与应用研究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（2）环境与能源功能材料分子设计与性能研究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（3）化学光电薄膜与器件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4. 材料加工工程方向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（1）无机非金属材料先进制造技术研究</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（2）高分子材料成型与加工技术开发</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（3）特种材料加工技术</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四、学习年限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材料科学与工程硕士研究生实行学分制，学习年限一般为3年。提前完成培养计划的研究生，可申请提前答辩和提前毕业；如遇特殊情况需要延期学习的，由研究生本人提出申请，经导师同意、学院审核、研究生部批准，可适当延长学习时间，但延长期最多不超过1年。</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五、培养方式</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培养方式实行导师负责制，导师是研究生培养的第一责任人，负有对研究生学科前沿引导、科研方法指导和学术规范教导的责任。同时，注意发挥导师团队集体培养的作用。做到政治与业务相结合，理论与实践相结合，课程学习和科学研究工作相结合。既要使研究生系统掌握基础理论和专门知识，又要使研究生掌握科学研究的基本方法和技能，具有独立进行科学研究和相应的实践工作能力。要贯彻因材施教的原则，充分发挥研究生的个人才能和特长。课程学习采取课堂讲授、自学辅导和讨论班等形式进行。</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六、课程设置及学分要求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硕士研究生课程分为学位课程（必修）和非学位课程（选修）两大类。学位课程包括公共学位课程、专业学位课程。硕士研究生课程学习实行学分制，一般以课内18～20学时计1学分（外语类课程以33～36学时计1学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学分的基本要求是：在论文答辩之前，必须修完不少于32个学分，其中课程学习环节不少于30学分，必修环节2学分。必修环节包括参加学术活动、文献阅读（1学分）和实践活动（1学分）；课程学习环节包括学位课程不少于18学分，非学位课程不少于12学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560" w:lineRule="atLeast"/>
        <w:ind w:left="360" w:right="0" w:hanging="36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2"/>
          <w:szCs w:val="22"/>
          <w:bdr w:val="none" w:color="auto" w:sz="0" w:space="0"/>
          <w:shd w:val="clear" w:fill="F7F7F7"/>
          <w:lang w:val="en-US" w:eastAsia="zh-CN" w:bidi="ar"/>
        </w:rPr>
        <w:t>1、 课程设置</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tbl>
      <w:tblPr>
        <w:tblW w:w="9276"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Layout w:type="autofit"/>
        <w:tblCellMar>
          <w:top w:w="0" w:type="dxa"/>
          <w:left w:w="0" w:type="dxa"/>
          <w:bottom w:w="0" w:type="dxa"/>
          <w:right w:w="0" w:type="dxa"/>
        </w:tblCellMar>
      </w:tblPr>
      <w:tblGrid>
        <w:gridCol w:w="816"/>
        <w:gridCol w:w="816"/>
        <w:gridCol w:w="816"/>
        <w:gridCol w:w="906"/>
        <w:gridCol w:w="816"/>
        <w:gridCol w:w="816"/>
        <w:gridCol w:w="816"/>
        <w:gridCol w:w="816"/>
        <w:gridCol w:w="816"/>
        <w:gridCol w:w="816"/>
        <w:gridCol w:w="816"/>
        <w:gridCol w:w="8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restart"/>
            <w:tcBorders>
              <w:top w:val="single" w:color="auto" w:sz="8" w:space="0"/>
              <w:left w:val="single" w:color="auto" w:sz="8" w:space="0"/>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课程</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类别</w:t>
            </w:r>
          </w:p>
        </w:tc>
        <w:tc>
          <w:tcPr>
            <w:tcW w:w="2640" w:type="dxa"/>
            <w:vMerge w:val="restart"/>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hanging="12"/>
              <w:jc w:val="center"/>
            </w:pPr>
            <w:r>
              <w:rPr>
                <w:rFonts w:hint="eastAsia" w:ascii="宋体" w:hAnsi="宋体" w:eastAsia="宋体" w:cs="宋体"/>
                <w:i w:val="0"/>
                <w:caps w:val="0"/>
                <w:color w:val="333333"/>
                <w:spacing w:val="0"/>
                <w:kern w:val="0"/>
                <w:sz w:val="18"/>
                <w:szCs w:val="18"/>
                <w:bdr w:val="none" w:color="auto" w:sz="0" w:space="0"/>
                <w:lang w:val="en-US" w:eastAsia="zh-CN" w:bidi="ar"/>
              </w:rPr>
              <w:t>课 程 名 称</w:t>
            </w:r>
          </w:p>
        </w:tc>
        <w:tc>
          <w:tcPr>
            <w:tcW w:w="599" w:type="dxa"/>
            <w:vMerge w:val="restart"/>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学时</w:t>
            </w:r>
          </w:p>
        </w:tc>
        <w:tc>
          <w:tcPr>
            <w:tcW w:w="760" w:type="dxa"/>
            <w:vMerge w:val="restart"/>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学分</w:t>
            </w:r>
          </w:p>
        </w:tc>
        <w:tc>
          <w:tcPr>
            <w:tcW w:w="1562" w:type="dxa"/>
            <w:gridSpan w:val="4"/>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考核学期</w:t>
            </w:r>
          </w:p>
        </w:tc>
        <w:tc>
          <w:tcPr>
            <w:tcW w:w="1169" w:type="dxa"/>
            <w:gridSpan w:val="2"/>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考核性质</w:t>
            </w:r>
          </w:p>
        </w:tc>
        <w:tc>
          <w:tcPr>
            <w:tcW w:w="1168" w:type="dxa"/>
            <w:vMerge w:val="restart"/>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single" w:color="auto" w:sz="8" w:space="0"/>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599"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760"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一</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二</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三</w:t>
            </w:r>
          </w:p>
        </w:tc>
        <w:tc>
          <w:tcPr>
            <w:tcW w:w="391" w:type="dxa"/>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四</w:t>
            </w:r>
          </w:p>
        </w:tc>
        <w:tc>
          <w:tcPr>
            <w:tcW w:w="583" w:type="dxa"/>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考试</w:t>
            </w:r>
          </w:p>
        </w:tc>
        <w:tc>
          <w:tcPr>
            <w:tcW w:w="586" w:type="dxa"/>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考查</w:t>
            </w:r>
          </w:p>
        </w:tc>
        <w:tc>
          <w:tcPr>
            <w:tcW w:w="1168"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restart"/>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学位课</w:t>
            </w:r>
          </w:p>
        </w:tc>
        <w:tc>
          <w:tcPr>
            <w:tcW w:w="902" w:type="dxa"/>
            <w:vMerge w:val="restart"/>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公共学位课</w:t>
            </w: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中国特色社会主义理论与实践研究</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restart"/>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必修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自然辩证法</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18</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1</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第一外国语（一）</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180</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single" w:color="auto" w:sz="8" w:space="0"/>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restart"/>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专业基础课</w:t>
            </w: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数理统计与随机过程</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restart"/>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①</w:t>
            </w:r>
            <w:r>
              <w:rPr>
                <w:rFonts w:ascii="仿宋_GB2312" w:hAnsi="微软雅黑" w:eastAsia="仿宋_GB2312" w:cs="仿宋_GB2312"/>
                <w:i w:val="0"/>
                <w:caps w:val="0"/>
                <w:color w:val="333333"/>
                <w:spacing w:val="0"/>
                <w:kern w:val="0"/>
                <w:sz w:val="18"/>
                <w:szCs w:val="18"/>
                <w:bdr w:val="none" w:color="auto" w:sz="0" w:space="0"/>
                <w:lang w:val="en-US" w:eastAsia="zh-CN" w:bidi="ar"/>
              </w:rPr>
              <w:t>数学二选一</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drawing>
                <wp:inline distT="0" distB="0" distL="114300" distR="114300">
                  <wp:extent cx="9525" cy="11430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9525" cy="114300"/>
                          </a:xfrm>
                          <a:prstGeom prst="rect">
                            <a:avLst/>
                          </a:prstGeom>
                          <a:noFill/>
                          <a:ln w="9525">
                            <a:noFill/>
                          </a:ln>
                        </pic:spPr>
                      </pic:pic>
                    </a:graphicData>
                  </a:graphic>
                </wp:inline>
              </w:drawing>
            </w:r>
            <w:r>
              <w:rPr>
                <w:rFonts w:hint="eastAsia" w:ascii="宋体" w:hAnsi="宋体" w:eastAsia="宋体" w:cs="宋体"/>
                <w:i w:val="0"/>
                <w:caps w:val="0"/>
                <w:color w:val="333333"/>
                <w:spacing w:val="0"/>
                <w:kern w:val="0"/>
                <w:sz w:val="18"/>
                <w:szCs w:val="18"/>
                <w:bdr w:val="none" w:color="auto" w:sz="0" w:space="0"/>
                <w:lang w:val="en-US" w:eastAsia="zh-CN" w:bidi="ar"/>
              </w:rPr>
              <w:t>；</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②</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t>不少于3门</w:t>
            </w:r>
            <w:r>
              <w:rPr>
                <w:rFonts w:hint="eastAsia" w:ascii="宋体" w:hAnsi="宋体" w:eastAsia="宋体" w:cs="宋体"/>
                <w:i w:val="0"/>
                <w:caps w:val="0"/>
                <w:color w:val="333333"/>
                <w:spacing w:val="0"/>
                <w:kern w:val="0"/>
                <w:sz w:val="18"/>
                <w:szCs w:val="18"/>
                <w:bdr w:val="none" w:color="auto" w:sz="0" w:space="0"/>
                <w:lang w:val="en-US" w:eastAsia="zh-CN" w:bidi="ar"/>
              </w:rPr>
              <w:t>和</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t>6学分；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数值分析</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材料热力学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材料分析与表征</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聚合物分子设计与合成</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材料科学与工程</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材料加工工程</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restart"/>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专业课</w:t>
            </w: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高性能混凝土</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restart"/>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①每个学科方向专业课</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t>不少于2门</w:t>
            </w:r>
            <w:r>
              <w:rPr>
                <w:rFonts w:hint="eastAsia" w:ascii="宋体" w:hAnsi="宋体" w:eastAsia="宋体" w:cs="宋体"/>
                <w:i w:val="0"/>
                <w:caps w:val="0"/>
                <w:color w:val="333333"/>
                <w:spacing w:val="0"/>
                <w:kern w:val="0"/>
                <w:sz w:val="18"/>
                <w:szCs w:val="18"/>
                <w:bdr w:val="none" w:color="auto" w:sz="0" w:space="0"/>
                <w:lang w:val="en-US" w:eastAsia="zh-CN" w:bidi="ar"/>
              </w:rPr>
              <w:t>和</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t>4学分</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②可多选</w:t>
            </w:r>
            <w:r>
              <w:rPr>
                <w:rFonts w:hint="default" w:ascii="仿宋_GB2312" w:hAnsi="微软雅黑" w:eastAsia="仿宋_GB2312" w:cs="仿宋_GB2312"/>
                <w:i w:val="0"/>
                <w:caps w:val="0"/>
                <w:color w:val="333333"/>
                <w:spacing w:val="0"/>
                <w:kern w:val="0"/>
                <w:sz w:val="18"/>
                <w:szCs w:val="18"/>
                <w:bdr w:val="none" w:color="auto" w:sz="0" w:space="0"/>
                <w:lang w:val="en-US" w:eastAsia="zh-CN" w:bidi="ar"/>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水泥化学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7"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聚合物结构与性能</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功能材料</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材料合成与制备</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476" w:type="dxa"/>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902"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纳米材料结构与性能</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586" w:type="dxa"/>
            <w:tcBorders>
              <w:top w:val="nil"/>
              <w:left w:val="nil"/>
              <w:bottom w:val="nil"/>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restart"/>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1" w:right="0" w:hanging="93"/>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材料表面与界面</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材料加工数值模拟</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材料流变学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弹塑性力学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高等有机化学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高分子材料成型技术</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187"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功能高分子</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固体物理</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结构化学</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17"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54</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新型胶凝材料</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聚合物改性与加工</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生态环境材料</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水溶性高分子</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碳素材料</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陶瓷成型技术</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陶瓷封接技术</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特种加工技术</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现代混凝土技术</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2640"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阻燃材料</w:t>
            </w:r>
          </w:p>
        </w:tc>
        <w:tc>
          <w:tcPr>
            <w:tcW w:w="599" w:type="dxa"/>
            <w:tcBorders>
              <w:top w:val="nil"/>
              <w:left w:val="nil"/>
              <w:bottom w:val="single" w:color="auto" w:sz="8" w:space="0"/>
              <w:right w:val="single" w:color="auto" w:sz="8" w:space="0"/>
            </w:tcBorders>
            <w:shd w:val="clear" w:color="auto" w:fill="F7F7F7"/>
            <w:tcMar>
              <w:left w:w="108" w:type="dxa"/>
              <w:right w:w="108" w:type="dxa"/>
            </w:tcMar>
            <w:vAlign w:val="top"/>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36</w:t>
            </w:r>
          </w:p>
        </w:tc>
        <w:tc>
          <w:tcPr>
            <w:tcW w:w="76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center"/>
            </w:pPr>
            <w:r>
              <w:rPr>
                <w:rFonts w:hint="eastAsia" w:ascii="宋体" w:hAnsi="宋体" w:eastAsia="宋体" w:cs="宋体"/>
                <w:i w:val="0"/>
                <w:caps w:val="0"/>
                <w:color w:val="333333"/>
                <w:spacing w:val="0"/>
                <w:kern w:val="0"/>
                <w:sz w:val="18"/>
                <w:szCs w:val="18"/>
                <w:bdr w:val="none" w:color="auto" w:sz="0" w:space="0"/>
                <w:lang w:val="en-US" w:eastAsia="zh-CN" w:bidi="ar"/>
              </w:rPr>
              <w:t>2</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390"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391"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3"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 </w:t>
            </w:r>
          </w:p>
        </w:tc>
        <w:tc>
          <w:tcPr>
            <w:tcW w:w="586" w:type="dxa"/>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w:t>
            </w:r>
          </w:p>
        </w:tc>
        <w:tc>
          <w:tcPr>
            <w:tcW w:w="1168" w:type="dxa"/>
            <w:vMerge w:val="continue"/>
            <w:tcBorders>
              <w:top w:val="nil"/>
              <w:left w:val="nil"/>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7F7F7"/>
          <w:tblCellMar>
            <w:top w:w="0" w:type="dxa"/>
            <w:left w:w="0" w:type="dxa"/>
            <w:bottom w:w="0" w:type="dxa"/>
            <w:right w:w="0" w:type="dxa"/>
          </w:tblCellMar>
        </w:tblPrEx>
        <w:trPr>
          <w:trHeight w:val="209" w:hRule="atLeast"/>
        </w:trPr>
        <w:tc>
          <w:tcPr>
            <w:tcW w:w="1378" w:type="dxa"/>
            <w:gridSpan w:val="2"/>
            <w:vMerge w:val="restart"/>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pPr>
            <w:r>
              <w:rPr>
                <w:rFonts w:hint="eastAsia" w:ascii="宋体" w:hAnsi="宋体" w:eastAsia="宋体" w:cs="宋体"/>
                <w:i w:val="0"/>
                <w:caps w:val="0"/>
                <w:color w:val="333333"/>
                <w:spacing w:val="0"/>
                <w:kern w:val="0"/>
                <w:sz w:val="18"/>
                <w:szCs w:val="18"/>
                <w:bdr w:val="none" w:color="auto" w:sz="0" w:space="0"/>
                <w:lang w:val="en-US" w:eastAsia="zh-CN" w:bidi="ar"/>
              </w:rPr>
              <w:t>必修环节</w:t>
            </w:r>
          </w:p>
        </w:tc>
        <w:tc>
          <w:tcPr>
            <w:tcW w:w="7898" w:type="dxa"/>
            <w:gridSpan w:val="10"/>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学术活动、文献阅读1学分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9" w:hRule="atLeast"/>
        </w:trPr>
        <w:tc>
          <w:tcPr>
            <w:tcW w:w="1378" w:type="dxa"/>
            <w:gridSpan w:val="2"/>
            <w:vMerge w:val="continue"/>
            <w:tcBorders>
              <w:top w:val="nil"/>
              <w:left w:val="single" w:color="auto" w:sz="8" w:space="0"/>
              <w:bottom w:val="single" w:color="auto" w:sz="8" w:space="0"/>
              <w:right w:val="single" w:color="auto" w:sz="8" w:space="0"/>
            </w:tcBorders>
            <w:shd w:val="clear" w:color="auto" w:fill="F7F7F7"/>
            <w:tcMar>
              <w:left w:w="108" w:type="dxa"/>
              <w:right w:w="108" w:type="dxa"/>
            </w:tcMar>
            <w:vAlign w:val="center"/>
          </w:tcPr>
          <w:p>
            <w:pPr>
              <w:jc w:val="left"/>
              <w:rPr>
                <w:rFonts w:hint="eastAsia" w:ascii="微软雅黑" w:hAnsi="微软雅黑" w:eastAsia="微软雅黑" w:cs="微软雅黑"/>
                <w:i w:val="0"/>
                <w:caps w:val="0"/>
                <w:color w:val="333333"/>
                <w:spacing w:val="0"/>
                <w:sz w:val="13"/>
                <w:szCs w:val="13"/>
              </w:rPr>
            </w:pPr>
          </w:p>
        </w:tc>
        <w:tc>
          <w:tcPr>
            <w:tcW w:w="7898" w:type="dxa"/>
            <w:gridSpan w:val="10"/>
            <w:tcBorders>
              <w:top w:val="nil"/>
              <w:left w:val="nil"/>
              <w:bottom w:val="single" w:color="auto" w:sz="8" w:space="0"/>
              <w:right w:val="single" w:color="auto" w:sz="8" w:space="0"/>
            </w:tcBorders>
            <w:shd w:val="clear" w:color="auto" w:fill="F7F7F7"/>
            <w:tcMar>
              <w:left w:w="108" w:type="dxa"/>
              <w:right w:w="108" w:type="dxa"/>
            </w:tcMar>
            <w:vAlign w:val="center"/>
          </w:tcPr>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70" w:afterAutospacing="0" w:line="200" w:lineRule="atLeast"/>
              <w:ind w:left="0" w:right="0" w:firstLine="420"/>
              <w:jc w:val="center"/>
              <w:textAlignment w:val="top"/>
            </w:pPr>
            <w:r>
              <w:rPr>
                <w:rFonts w:hint="eastAsia" w:ascii="宋体" w:hAnsi="宋体" w:eastAsia="宋体" w:cs="宋体"/>
                <w:i w:val="0"/>
                <w:caps w:val="0"/>
                <w:color w:val="333333"/>
                <w:spacing w:val="0"/>
                <w:kern w:val="0"/>
                <w:sz w:val="18"/>
                <w:szCs w:val="18"/>
                <w:bdr w:val="none" w:color="auto" w:sz="0" w:space="0"/>
                <w:lang w:val="en-US" w:eastAsia="zh-CN" w:bidi="ar"/>
              </w:rPr>
              <w:t>实践活动1学分</w:t>
            </w:r>
          </w:p>
        </w:tc>
      </w:tr>
    </w:tbl>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2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2、课程安排</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（1）研究生课程学习一年内完成；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（2）研究生公共学位课程安排在第一学年内完成；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（3）专业基础课、专业课和非学位课原则上分别安排在第一、二学期完成；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（4）研究生实践活动原则上安排在第四学期结束前完成。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2"/>
        <w:jc w:val="left"/>
        <w:rPr>
          <w:rFonts w:hint="eastAsia" w:ascii="微软雅黑" w:hAnsi="微软雅黑" w:eastAsia="微软雅黑" w:cs="微软雅黑"/>
          <w:i w:val="0"/>
          <w:caps w:val="0"/>
          <w:color w:val="333333"/>
          <w:spacing w:val="0"/>
          <w:sz w:val="13"/>
          <w:szCs w:val="13"/>
        </w:rPr>
      </w:pPr>
      <w:r>
        <w:rPr>
          <w:rStyle w:val="5"/>
          <w:rFonts w:hint="eastAsia" w:ascii="宋体" w:hAnsi="宋体" w:eastAsia="宋体" w:cs="宋体"/>
          <w:b/>
          <w:i w:val="0"/>
          <w:caps w:val="0"/>
          <w:color w:val="333333"/>
          <w:spacing w:val="0"/>
          <w:kern w:val="0"/>
          <w:sz w:val="24"/>
          <w:szCs w:val="24"/>
          <w:bdr w:val="none" w:color="auto" w:sz="0" w:space="0"/>
          <w:shd w:val="clear" w:fill="F7F7F7"/>
          <w:lang w:val="en-US" w:eastAsia="zh-CN" w:bidi="ar"/>
        </w:rPr>
        <w:t>七、学位论文与要求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学位论文是研究生培养工作的重要环节。通过撰写学位论文，培养研究生从事科学研究和独立工作的能力，发现问题和解决问题的能力，实事求是的工作作风和严谨踏实的学习态度。</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研究生在导师的指导下选定好研究课题，课题的选择应有明确的学术内涵，强调学术研究的方法训练，同时又具有应用前景，也可选择结合生产实践、解决实际问题的课题，鼓励学科交叉。课题要清晰明确，鼓励研究生提出新见解，通过研究有所发现、有所发明，对某个学科方向或技术领域有所推动；课题要有可行性，使论文提出的工作构想与思路能够在本校或国内有关单位的实验条件下取得足够的实验验证或揭示。课题工作量和难易度应适当，使研究生能在规定时间内取得预期成果。论文选题应结合本学科专业的科研课题进行，并且结合研究生的科研基础和个人特长。</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195" w:lineRule="atLeast"/>
        <w:ind w:left="0" w:right="0" w:firstLine="480"/>
        <w:jc w:val="lef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学位论文必须在导师指导下由研究生本人独立完成。在论文题目确定后，用于论文工作的时间应不少于1年。论文撰写必须符合《安徽建筑大学硕士学位论文撰写要求》。</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600" w:lineRule="atLeast"/>
        <w:ind w:left="0" w:right="0" w:firstLine="420"/>
        <w:jc w:val="left"/>
        <w:rPr>
          <w:rFonts w:hint="eastAsia" w:ascii="微软雅黑" w:hAnsi="微软雅黑" w:eastAsia="微软雅黑" w:cs="微软雅黑"/>
          <w:i w:val="0"/>
          <w:caps w:val="0"/>
          <w:color w:val="333333"/>
          <w:spacing w:val="0"/>
          <w:sz w:val="13"/>
          <w:szCs w:val="13"/>
        </w:rPr>
      </w:pPr>
      <w:r>
        <w:rPr>
          <w:rStyle w:val="5"/>
          <w:rFonts w:hint="default" w:ascii="仿宋_GB2312" w:hAnsi="微软雅黑" w:eastAsia="仿宋_GB2312" w:cs="仿宋_GB2312"/>
          <w:b/>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0" w:beforeAutospacing="0" w:after="70" w:afterAutospacing="0" w:line="600" w:lineRule="atLeast"/>
        <w:ind w:left="0" w:right="0" w:firstLine="420"/>
        <w:jc w:val="left"/>
        <w:rPr>
          <w:rFonts w:hint="eastAsia" w:ascii="微软雅黑" w:hAnsi="微软雅黑" w:eastAsia="微软雅黑" w:cs="微软雅黑"/>
          <w:i w:val="0"/>
          <w:caps w:val="0"/>
          <w:color w:val="333333"/>
          <w:spacing w:val="0"/>
          <w:sz w:val="13"/>
          <w:szCs w:val="13"/>
        </w:rPr>
      </w:pPr>
      <w:r>
        <w:rPr>
          <w:rStyle w:val="5"/>
          <w:rFonts w:hint="default" w:ascii="仿宋_GB2312" w:hAnsi="微软雅黑" w:eastAsia="仿宋_GB2312" w:cs="仿宋_GB2312"/>
          <w:b/>
          <w:i w:val="0"/>
          <w:caps w:val="0"/>
          <w:color w:val="333333"/>
          <w:spacing w:val="0"/>
          <w:kern w:val="0"/>
          <w:sz w:val="24"/>
          <w:szCs w:val="24"/>
          <w:bdr w:val="none" w:color="auto" w:sz="0" w:space="0"/>
          <w:shd w:val="clear" w:fill="F7F7F7"/>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156" w:beforeAutospacing="0" w:after="100" w:afterAutospacing="0" w:line="460" w:lineRule="atLeast"/>
        <w:ind w:left="0" w:right="0" w:firstLine="480"/>
        <w:jc w:val="righ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学院学位分委员会主任签字盖章：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7F7F7"/>
        <w:spacing w:before="50" w:beforeAutospacing="0" w:after="70" w:afterAutospacing="0" w:line="460" w:lineRule="atLeast"/>
        <w:ind w:left="0" w:right="0" w:firstLine="360"/>
        <w:jc w:val="right"/>
        <w:rPr>
          <w:rFonts w:hint="eastAsia" w:ascii="微软雅黑" w:hAnsi="微软雅黑" w:eastAsia="微软雅黑" w:cs="微软雅黑"/>
          <w:i w:val="0"/>
          <w:caps w:val="0"/>
          <w:color w:val="333333"/>
          <w:spacing w:val="0"/>
          <w:sz w:val="13"/>
          <w:szCs w:val="13"/>
        </w:rPr>
      </w:pPr>
      <w:r>
        <w:rPr>
          <w:rFonts w:hint="eastAsia" w:ascii="宋体" w:hAnsi="宋体" w:eastAsia="宋体" w:cs="宋体"/>
          <w:i w:val="0"/>
          <w:caps w:val="0"/>
          <w:color w:val="333333"/>
          <w:spacing w:val="0"/>
          <w:kern w:val="0"/>
          <w:sz w:val="24"/>
          <w:szCs w:val="24"/>
          <w:bdr w:val="none" w:color="auto" w:sz="0" w:space="0"/>
          <w:shd w:val="clear" w:fill="F7F7F7"/>
          <w:lang w:val="en-US" w:eastAsia="zh-CN" w:bidi="ar"/>
        </w:rPr>
        <w:t>                                        日期：        年   月   日</w:t>
      </w:r>
    </w:p>
    <w:p>
      <w:pPr>
        <w:jc w:val="righ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267363E"/>
    <w:rsid w:val="1267363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NUL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2020-02-28T12:06:00Z</dcterms:created>
  <dc:creator>倩倩</dc:creator>
  <cp:lastModifiedBy>倩倩</cp:lastModifiedBy>
  <dcterms:modified xsi:type="dcterms:W3CDTF">2020-02-28T12:06:50Z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