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999999" w:sz="4" w:space="5"/>
          <w:right w:val="none" w:color="auto" w:sz="0" w:space="0"/>
        </w:pBdr>
        <w:shd w:val="clear" w:fill="FFFFFF"/>
        <w:spacing w:before="150" w:beforeAutospacing="0" w:after="150" w:afterAutospacing="0"/>
        <w:ind w:left="100" w:right="100" w:firstLine="0"/>
        <w:jc w:val="center"/>
        <w:rPr>
          <w:rFonts w:ascii="微软雅黑" w:hAnsi="微软雅黑" w:eastAsia="微软雅黑" w:cs="微软雅黑"/>
          <w:b/>
          <w:i w:val="0"/>
          <w:caps w:val="0"/>
          <w:color w:val="000000"/>
          <w:spacing w:val="0"/>
          <w:sz w:val="28"/>
          <w:szCs w:val="28"/>
        </w:rPr>
      </w:pPr>
      <w:r>
        <w:rPr>
          <w:rFonts w:hint="eastAsia" w:ascii="微软雅黑" w:hAnsi="微软雅黑" w:eastAsia="微软雅黑" w:cs="微软雅黑"/>
          <w:b/>
          <w:i w:val="0"/>
          <w:caps w:val="0"/>
          <w:color w:val="000000"/>
          <w:spacing w:val="0"/>
          <w:kern w:val="0"/>
          <w:sz w:val="28"/>
          <w:szCs w:val="28"/>
          <w:bdr w:val="none" w:color="auto" w:sz="0" w:space="0"/>
          <w:shd w:val="clear" w:fill="FFFFFF"/>
          <w:lang w:val="en-US" w:eastAsia="zh-CN" w:bidi="ar"/>
        </w:rPr>
        <w:t>硕士研究生导师肖新</w:t>
      </w:r>
      <w:bookmarkStart w:id="0" w:name="_GoBack"/>
      <w:bookmarkEnd w:id="0"/>
    </w:p>
    <w:p>
      <w:pPr>
        <w:keepNext w:val="0"/>
        <w:keepLines w:val="0"/>
        <w:widowControl/>
        <w:suppressLineNumbers w:val="0"/>
        <w:pBdr>
          <w:top w:val="none" w:color="auto" w:sz="0" w:space="0"/>
          <w:left w:val="none" w:color="auto" w:sz="0" w:space="0"/>
          <w:bottom w:val="dashed" w:color="999999" w:sz="4" w:space="0"/>
          <w:right w:val="none" w:color="auto" w:sz="0" w:space="0"/>
        </w:pBdr>
        <w:shd w:val="clear" w:fill="FFFFFF"/>
        <w:spacing w:before="100" w:beforeAutospacing="0" w:after="0" w:afterAutospacing="0"/>
        <w:ind w:left="100" w:right="100" w:firstLine="0"/>
        <w:jc w:val="center"/>
        <w:rPr>
          <w:rFonts w:hint="eastAsia" w:ascii="微软雅黑" w:hAnsi="微软雅黑" w:eastAsia="微软雅黑" w:cs="微软雅黑"/>
          <w:b w:val="0"/>
          <w:i w:val="0"/>
          <w:caps w:val="0"/>
          <w:color w:val="808080"/>
          <w:spacing w:val="0"/>
          <w:sz w:val="13"/>
          <w:szCs w:val="13"/>
        </w:rPr>
      </w:pPr>
      <w:r>
        <w:rPr>
          <w:rFonts w:hint="eastAsia" w:ascii="微软雅黑" w:hAnsi="微软雅黑" w:eastAsia="微软雅黑" w:cs="微软雅黑"/>
          <w:b w:val="0"/>
          <w:i w:val="0"/>
          <w:caps w:val="0"/>
          <w:color w:val="808080"/>
          <w:spacing w:val="0"/>
          <w:kern w:val="0"/>
          <w:sz w:val="13"/>
          <w:szCs w:val="13"/>
          <w:bdr w:val="none" w:color="auto" w:sz="0" w:space="0"/>
          <w:shd w:val="clear" w:fill="FFFFFF"/>
          <w:lang w:val="en-US" w:eastAsia="zh-CN" w:bidi="ar"/>
        </w:rPr>
        <w:t>作者：     发布时间：2018/04/16     点击数：836</w:t>
      </w:r>
    </w:p>
    <w:tbl>
      <w:tblPr>
        <w:tblW w:w="9322"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36"/>
        <w:gridCol w:w="6186"/>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29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      </w:t>
            </w:r>
            <w:r>
              <w:rPr>
                <w:rFonts w:hint="eastAsia" w:ascii="宋体" w:hAnsi="宋体" w:eastAsia="宋体" w:cs="宋体"/>
                <w:kern w:val="0"/>
                <w:sz w:val="22"/>
                <w:szCs w:val="22"/>
                <w:bdr w:val="none" w:color="CCCCCC" w:sz="0" w:space="0"/>
                <w:lang w:val="en-US" w:eastAsia="zh-CN" w:bidi="ar"/>
              </w:rPr>
              <w:drawing>
                <wp:inline distT="0" distB="0" distL="114300" distR="114300">
                  <wp:extent cx="1152525" cy="1552575"/>
                  <wp:effectExtent l="0" t="0" r="317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52525" cy="1552575"/>
                          </a:xfrm>
                          <a:prstGeom prst="rect">
                            <a:avLst/>
                          </a:prstGeom>
                          <a:noFill/>
                          <a:ln w="9525">
                            <a:noFill/>
                          </a:ln>
                        </pic:spPr>
                      </pic:pic>
                    </a:graphicData>
                  </a:graphic>
                </wp:inline>
              </w:drawing>
            </w:r>
          </w:p>
        </w:tc>
        <w:tc>
          <w:tcPr>
            <w:tcW w:w="637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资源与环境学院院长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安徽省重大科技专项首席专家、安徽省休闲农业与乡村旅游首批专家、滁州“211”产业创新团队带头人、市农业科技专家大院首席专家、校中青年学科带头人培养对象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研究方向： 农业园区规划设计与农田水肥高效利用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办公地点：东区东办公楼211室</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通讯方式：xiaoxin8088@126.com；0550-6732656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trPr>
        <w:tc>
          <w:tcPr>
            <w:tcW w:w="2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肖新，男，1980年7月生，资源与环境学院教授、博士，硕士生导师</w:t>
            </w:r>
          </w:p>
        </w:tc>
        <w:tc>
          <w:tcPr>
            <w:tcW w:w="637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2"/>
                <w:szCs w:val="22"/>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60" w:hRule="atLeast"/>
        </w:trPr>
        <w:tc>
          <w:tcPr>
            <w:tcW w:w="93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 主讲课程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《环境规划与管理》、《农村区域发展与规划》</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60" w:hRule="atLeast"/>
        </w:trPr>
        <w:tc>
          <w:tcPr>
            <w:tcW w:w="93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 教学研究项目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1、应用型人才校企协同培养模式构建与评价，省级教研，2015-2016年，主持人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93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 </w:t>
            </w:r>
            <w:r>
              <w:rPr>
                <w:rFonts w:hint="eastAsia" w:ascii="宋体" w:hAnsi="宋体" w:eastAsia="宋体" w:cs="宋体"/>
                <w:kern w:val="0"/>
                <w:sz w:val="22"/>
                <w:szCs w:val="22"/>
                <w:bdr w:val="none" w:color="auto" w:sz="0" w:space="0"/>
                <w:lang w:val="en-US" w:eastAsia="zh-CN" w:bidi="ar"/>
              </w:rPr>
              <w:t>科学研究项目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1、国家科技人员服务企业行动项目---滁菊高产精准施肥与有效成分提取的关键技术及产业化开发，2010/01-2011/12，主持。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2、安徽省科技重大专项---沿淮淮北主要粮食作物有机物料化肥替代与地力提升技术研究与示范，2017/01-2018/12，主持。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3、安徽省自然科技基金面上项目---长期水氮联合调控下稻麦轮作农田的硝化作用与氨氧化微生物研究，2016/01-2017/12，主持。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4、安徽省级高校自然科学研究重点项目---克服滁菊连作障碍生物有机肥研制关键技术及产业化开发，2012/01-2014/12，主持。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5、蚌埠市龙子湖区人民政府横向委托项目---蚌埠市龙子湖区现代农业示范区总体规划2015/01-2017/12，主持。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6、蚌埠市人民政府委托项目---蚌埠国家农业科技园区总体规划，2013/01-2014/12，主持。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7、凤阳县人民政府委托项目---凤阳县十三五专项规划研究，2015/01-2016/12，主持。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8、凤阳县人民政府委托项目---凤阳县小岗田园综合体总体规划，2017/01-2018/12，主持。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9、凤阳县人民政府委托项目---凤阳县小岗现代农业示范区总体规划，2010/06-2011/12，主持。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10、凤阳县扶贫办委托项目---凤阳县贫困村扶贫产业发展规划，2016/01-2016/12，主持。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11、安徽万世伟业投资集团委托项目---湖北竹溪牛头山生态庄园总体规划，2014/01-2014/12，主持。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12、安徽菊泰滁菊草本科技有限公司委托项目---安徽菊泰现代有机农业科技示范园规划设计，2014/01-2014/12，主持。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93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 论文、论著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1、轮作与施肥对滁菊连作土壤微生物特性的影响，应用生态学报，2015.06，一类    （Medline收录）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2、轮作与施肥对滁菊品质、产量及土壤酶活性的影响，中药材，2015.04，二类（CSCD核心库）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  适宜的水氮处理提高稻基农田土壤酶活性和土壤微生物量碳氮，农业工程学报，2013.11.15，一类（EI收录JA）。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3、不同节水稻作模式对土壤微生物数量和微生物量碳氮的影响, 水土保持通报， 2013.04, 二类（CSCD核心库）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 江淮丘陵季节性干旱区灌溉与施氮量对土壤肥力和水稻水分利用效率的影响, 干旱地区农业研究, 2013.01.10，二类（CSCD核心库）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 灌溉模式与施氮量对水稻需水规律及产量的影响, 南京农业大学学报, 2012. 07.30，二类（CSCD核心库）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6、水氮耦合对水稻田间氨挥发规律的影响, 农业环境科学学报, 2012.10.20，二类（CSCD核心库）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7、尿素施用量对道地药材滁菊土壤微生物活性的影响. 水土保持学报，2011.10, 二类（CSCD核心库）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8、Xin Xiao, Yanwen Zhao*, Feng  Hu. The Comparison on the Function of Different Water-saving Rice cultivation  Ecosystems in seasonal Drought Hilly Region of Southern China(SCI). Journal  of sustainable agriculture, vol.32, No. 3, pp463 - 482, 2008（一类SCI收录）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  Yanwen Zhao*, Xin Xiao,  Bi Dongmei, Feng Hu. Effects of Sulfur Fertilization on Soybean’s Root and  Leaf Traits, and Soil Microbial Activity (SCI). Journal of plant nutrition,  vol.31, No.3, pp473 - 483, 2008（一类SCI收录）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420" w:right="0" w:hanging="42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10、肖新, 赵言文, 胡锋*, 施国庆. 节水稻基农田作物轮作与灌溉模式需水规律研究(EI). 水科学进展,第19卷，第4期，567-573页, 2008（一类EI收录）</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93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 各类获奖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1、省级教学成果二等奖1项：校企合作背景下农业资源与环境专业“四双”人才培养模式的探索与实践；2012cgj212；排名第4。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2、校级教坛新秀奖；2010年05月。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3、获校级教学成果一等奖1项：农科专业大学生科研素质培养模式的构建与实践；201010；排名第5</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560" w:hRule="atLeast"/>
        </w:trPr>
        <w:tc>
          <w:tcPr>
            <w:tcW w:w="9322"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r>
              <w:rPr>
                <w:rFonts w:hint="eastAsia" w:ascii="宋体" w:hAnsi="宋体" w:eastAsia="宋体" w:cs="宋体"/>
                <w:kern w:val="0"/>
                <w:sz w:val="22"/>
                <w:szCs w:val="22"/>
                <w:bdr w:val="none" w:color="auto" w:sz="0" w:space="0"/>
                <w:lang w:val="en-US" w:eastAsia="zh-CN" w:bidi="ar"/>
              </w:rPr>
              <w:t> 各类成果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left"/>
              <w:rPr>
                <w:rFonts w:hint="eastAsia" w:ascii="宋体" w:hAnsi="宋体" w:eastAsia="宋体" w:cs="宋体"/>
                <w:sz w:val="22"/>
                <w:szCs w:val="22"/>
              </w:rPr>
            </w:pPr>
            <w:r>
              <w:rPr>
                <w:rFonts w:hint="eastAsia" w:ascii="宋体" w:hAnsi="宋体" w:eastAsia="宋体" w:cs="宋体"/>
                <w:color w:val="0070C0"/>
                <w:kern w:val="0"/>
                <w:sz w:val="22"/>
                <w:szCs w:val="22"/>
                <w:bdr w:val="none" w:color="auto" w:sz="0" w:space="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rPr>
                <w:rFonts w:hint="eastAsia" w:ascii="宋体" w:hAnsi="宋体" w:eastAsia="宋体" w:cs="宋体"/>
                <w:sz w:val="22"/>
                <w:szCs w:val="22"/>
              </w:rPr>
            </w:pPr>
            <w:r>
              <w:rPr>
                <w:rFonts w:hint="eastAsia" w:ascii="宋体" w:hAnsi="宋体" w:eastAsia="宋体" w:cs="宋体"/>
                <w:sz w:val="22"/>
                <w:szCs w:val="22"/>
                <w:bdr w:val="none" w:color="auto" w:sz="0" w:space="0"/>
                <w:lang w:val="en-US"/>
              </w:rPr>
              <w:t>1、 </w:t>
            </w:r>
            <w:r>
              <w:rPr>
                <w:rFonts w:hint="eastAsia" w:ascii="宋体" w:hAnsi="宋体" w:eastAsia="宋体" w:cs="宋体"/>
                <w:sz w:val="22"/>
                <w:szCs w:val="22"/>
                <w:bdr w:val="none" w:color="auto" w:sz="0" w:space="0"/>
              </w:rPr>
              <w:t>滁菊连作障碍生态控制关键技术研究（滁州市科技进步三等奖，第</w:t>
            </w:r>
            <w:r>
              <w:rPr>
                <w:rFonts w:hint="eastAsia" w:ascii="宋体" w:hAnsi="宋体" w:eastAsia="宋体" w:cs="宋体"/>
                <w:sz w:val="22"/>
                <w:szCs w:val="22"/>
                <w:bdr w:val="none" w:color="auto" w:sz="0" w:space="0"/>
                <w:lang w:val="en-US"/>
              </w:rPr>
              <w:t>1</w:t>
            </w:r>
            <w:r>
              <w:rPr>
                <w:rFonts w:hint="eastAsia" w:ascii="宋体" w:hAnsi="宋体" w:eastAsia="宋体" w:cs="宋体"/>
                <w:sz w:val="22"/>
                <w:szCs w:val="22"/>
                <w:bdr w:val="none" w:color="auto" w:sz="0" w:space="0"/>
              </w:rPr>
              <w:t>完成人，</w:t>
            </w:r>
            <w:r>
              <w:rPr>
                <w:rFonts w:hint="eastAsia" w:ascii="宋体" w:hAnsi="宋体" w:eastAsia="宋体" w:cs="宋体"/>
                <w:sz w:val="22"/>
                <w:szCs w:val="22"/>
                <w:bdr w:val="none" w:color="auto" w:sz="0" w:space="0"/>
                <w:lang w:val="en-US"/>
              </w:rPr>
              <w:t>2014</w:t>
            </w:r>
            <w:r>
              <w:rPr>
                <w:rFonts w:hint="eastAsia" w:ascii="宋体" w:hAnsi="宋体" w:eastAsia="宋体" w:cs="宋体"/>
                <w:sz w:val="22"/>
                <w:szCs w:val="22"/>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rPr>
                <w:rFonts w:hint="eastAsia" w:ascii="宋体" w:hAnsi="宋体" w:eastAsia="宋体" w:cs="宋体"/>
                <w:sz w:val="22"/>
                <w:szCs w:val="22"/>
              </w:rPr>
            </w:pPr>
            <w:r>
              <w:rPr>
                <w:rFonts w:hint="eastAsia" w:ascii="宋体" w:hAnsi="宋体" w:eastAsia="宋体" w:cs="宋体"/>
                <w:sz w:val="22"/>
                <w:szCs w:val="22"/>
                <w:bdr w:val="none" w:color="auto" w:sz="0" w:space="0"/>
                <w:lang w:val="en-US"/>
              </w:rPr>
              <w:t>2、 </w:t>
            </w:r>
            <w:r>
              <w:rPr>
                <w:rFonts w:hint="eastAsia" w:ascii="宋体" w:hAnsi="宋体" w:eastAsia="宋体" w:cs="宋体"/>
                <w:sz w:val="22"/>
                <w:szCs w:val="22"/>
                <w:bdr w:val="none" w:color="auto" w:sz="0" w:space="0"/>
              </w:rPr>
              <w:t>滁菊专用氨基酸有机无机复混肥研制、推广应用及产业化开发（淮海科技技术奖三等奖，第</w:t>
            </w:r>
            <w:r>
              <w:rPr>
                <w:rFonts w:hint="eastAsia" w:ascii="宋体" w:hAnsi="宋体" w:eastAsia="宋体" w:cs="宋体"/>
                <w:sz w:val="22"/>
                <w:szCs w:val="22"/>
                <w:bdr w:val="none" w:color="auto" w:sz="0" w:space="0"/>
                <w:lang w:val="en-US"/>
              </w:rPr>
              <w:t>1</w:t>
            </w:r>
            <w:r>
              <w:rPr>
                <w:rFonts w:hint="eastAsia" w:ascii="宋体" w:hAnsi="宋体" w:eastAsia="宋体" w:cs="宋体"/>
                <w:sz w:val="22"/>
                <w:szCs w:val="22"/>
                <w:bdr w:val="none" w:color="auto" w:sz="0" w:space="0"/>
              </w:rPr>
              <w:t>完成人，</w:t>
            </w:r>
            <w:r>
              <w:rPr>
                <w:rFonts w:hint="eastAsia" w:ascii="宋体" w:hAnsi="宋体" w:eastAsia="宋体" w:cs="宋体"/>
                <w:sz w:val="22"/>
                <w:szCs w:val="22"/>
                <w:bdr w:val="none" w:color="auto" w:sz="0" w:space="0"/>
                <w:lang w:val="en-US"/>
              </w:rPr>
              <w:t>2014</w:t>
            </w:r>
            <w:r>
              <w:rPr>
                <w:rFonts w:hint="eastAsia" w:ascii="宋体" w:hAnsi="宋体" w:eastAsia="宋体" w:cs="宋体"/>
                <w:sz w:val="22"/>
                <w:szCs w:val="22"/>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rPr>
                <w:rFonts w:hint="eastAsia" w:ascii="宋体" w:hAnsi="宋体" w:eastAsia="宋体" w:cs="宋体"/>
                <w:sz w:val="22"/>
                <w:szCs w:val="22"/>
              </w:rPr>
            </w:pPr>
            <w:r>
              <w:rPr>
                <w:rFonts w:hint="eastAsia" w:ascii="宋体" w:hAnsi="宋体" w:eastAsia="宋体" w:cs="宋体"/>
                <w:sz w:val="22"/>
                <w:szCs w:val="22"/>
                <w:bdr w:val="none" w:color="auto" w:sz="0" w:space="0"/>
                <w:lang w:val="en-US"/>
              </w:rPr>
              <w:t>3、 </w:t>
            </w:r>
            <w:r>
              <w:rPr>
                <w:rFonts w:hint="eastAsia" w:ascii="宋体" w:hAnsi="宋体" w:eastAsia="宋体" w:cs="宋体"/>
                <w:sz w:val="22"/>
                <w:szCs w:val="22"/>
                <w:bdr w:val="none" w:color="auto" w:sz="0" w:space="0"/>
              </w:rPr>
              <w:t>滁菊专用氨基酸有机无机复混肥研制及推广应用（省级科技成果，第</w:t>
            </w:r>
            <w:r>
              <w:rPr>
                <w:rFonts w:hint="eastAsia" w:ascii="宋体" w:hAnsi="宋体" w:eastAsia="宋体" w:cs="宋体"/>
                <w:sz w:val="22"/>
                <w:szCs w:val="22"/>
                <w:bdr w:val="none" w:color="auto" w:sz="0" w:space="0"/>
                <w:lang w:val="en-US"/>
              </w:rPr>
              <w:t>1</w:t>
            </w:r>
            <w:r>
              <w:rPr>
                <w:rFonts w:hint="eastAsia" w:ascii="宋体" w:hAnsi="宋体" w:eastAsia="宋体" w:cs="宋体"/>
                <w:sz w:val="22"/>
                <w:szCs w:val="22"/>
                <w:bdr w:val="none" w:color="auto" w:sz="0" w:space="0"/>
              </w:rPr>
              <w:t>完成人，</w:t>
            </w:r>
            <w:r>
              <w:rPr>
                <w:rFonts w:hint="eastAsia" w:ascii="宋体" w:hAnsi="宋体" w:eastAsia="宋体" w:cs="宋体"/>
                <w:sz w:val="22"/>
                <w:szCs w:val="22"/>
                <w:bdr w:val="none" w:color="auto" w:sz="0" w:space="0"/>
                <w:lang w:val="en-US"/>
              </w:rPr>
              <w:t>2011</w:t>
            </w:r>
            <w:r>
              <w:rPr>
                <w:rFonts w:hint="eastAsia" w:ascii="宋体" w:hAnsi="宋体" w:eastAsia="宋体" w:cs="宋体"/>
                <w:sz w:val="22"/>
                <w:szCs w:val="22"/>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firstLine="0"/>
              <w:rPr>
                <w:rFonts w:hint="eastAsia" w:ascii="宋体" w:hAnsi="宋体" w:eastAsia="宋体" w:cs="宋体"/>
                <w:sz w:val="22"/>
                <w:szCs w:val="22"/>
              </w:rPr>
            </w:pPr>
            <w:r>
              <w:rPr>
                <w:rFonts w:hint="eastAsia" w:ascii="宋体" w:hAnsi="宋体" w:eastAsia="宋体" w:cs="宋体"/>
                <w:sz w:val="22"/>
                <w:szCs w:val="22"/>
                <w:bdr w:val="none" w:color="auto" w:sz="0" w:space="0"/>
              </w:rPr>
              <w:t>滁菊连作障碍生态控制关键技术研究与集成示范（省级科技成果，第</w:t>
            </w:r>
            <w:r>
              <w:rPr>
                <w:rFonts w:hint="eastAsia" w:ascii="宋体" w:hAnsi="宋体" w:eastAsia="宋体" w:cs="宋体"/>
                <w:sz w:val="22"/>
                <w:szCs w:val="22"/>
                <w:bdr w:val="none" w:color="auto" w:sz="0" w:space="0"/>
                <w:lang w:val="en-US"/>
              </w:rPr>
              <w:t>1</w:t>
            </w:r>
            <w:r>
              <w:rPr>
                <w:rFonts w:hint="eastAsia" w:ascii="宋体" w:hAnsi="宋体" w:eastAsia="宋体" w:cs="宋体"/>
                <w:sz w:val="22"/>
                <w:szCs w:val="22"/>
                <w:bdr w:val="none" w:color="auto" w:sz="0" w:space="0"/>
              </w:rPr>
              <w:t>完成人，</w:t>
            </w:r>
            <w:r>
              <w:rPr>
                <w:rFonts w:hint="eastAsia" w:ascii="宋体" w:hAnsi="宋体" w:eastAsia="宋体" w:cs="宋体"/>
                <w:sz w:val="22"/>
                <w:szCs w:val="22"/>
                <w:bdr w:val="none" w:color="auto" w:sz="0" w:space="0"/>
                <w:lang w:val="en-US"/>
              </w:rPr>
              <w:t>2013</w:t>
            </w:r>
            <w:r>
              <w:rPr>
                <w:rFonts w:hint="eastAsia" w:ascii="宋体" w:hAnsi="宋体" w:eastAsia="宋体" w:cs="宋体"/>
                <w:sz w:val="22"/>
                <w:szCs w:val="22"/>
                <w:bdr w:val="none" w:color="auto" w:sz="0" w:space="0"/>
              </w:rPr>
              <w:t>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C3615"/>
    <w:rsid w:val="1AEC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2020-03-01T01:40:00Z</dcterms:created>
  <dc:creator>倩倩</dc:creator>
  <cp:lastModifiedBy>倩倩</cp:lastModifiedBy>
  <dcterms:modified xsi:type="dcterms:W3CDTF">2020-03-01T01:40:46Z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