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jc w:val="center"/>
        </w:trPr>
        <w:tc>
          <w:tcPr>
            <w:tcW w:w="0" w:type="auto"/>
            <w:shd w:val="clear"/>
            <w:vAlign w:val="center"/>
          </w:tcPr>
          <w:tbl>
            <w:tblPr>
              <w:tblW w:w="4100" w:type="pct"/>
              <w:jc w:val="center"/>
              <w:shd w:val="clear"/>
              <w:tblLayout w:type="autofit"/>
              <w:tblCellMar>
                <w:top w:w="0" w:type="dxa"/>
                <w:left w:w="0" w:type="dxa"/>
                <w:bottom w:w="0" w:type="dxa"/>
                <w:right w:w="0" w:type="dxa"/>
              </w:tblCellMar>
            </w:tblPr>
            <w:tblGrid>
              <w:gridCol w:w="6811"/>
            </w:tblGrid>
            <w:tr>
              <w:tblPrEx>
                <w:shd w:val="clear"/>
                <w:tblCellMar>
                  <w:top w:w="0" w:type="dxa"/>
                  <w:left w:w="0" w:type="dxa"/>
                  <w:bottom w:w="0" w:type="dxa"/>
                  <w:right w:w="0" w:type="dxa"/>
                </w:tblCellMar>
              </w:tblPrEx>
              <w:trPr>
                <w:trHeight w:val="700" w:hRule="atLeast"/>
                <w:jc w:val="center"/>
              </w:trPr>
              <w:tc>
                <w:tcPr>
                  <w:tcW w:w="0" w:type="auto"/>
                  <w:shd w:val="clear"/>
                  <w:tcMar>
                    <w:top w:w="100" w:type="dxa"/>
                    <w:left w:w="200" w:type="dxa"/>
                    <w:bottom w:w="100" w:type="dxa"/>
                    <w:right w:w="200" w:type="dxa"/>
                  </w:tcMar>
                  <w:vAlign w:val="center"/>
                </w:tcPr>
                <w:p>
                  <w:pPr>
                    <w:keepNext w:val="0"/>
                    <w:keepLines w:val="0"/>
                    <w:widowControl/>
                    <w:suppressLineNumbers w:val="0"/>
                    <w:spacing w:before="0" w:beforeAutospacing="0" w:after="0" w:afterAutospacing="0" w:line="315" w:lineRule="atLeast"/>
                    <w:ind w:left="0" w:right="0"/>
                    <w:jc w:val="center"/>
                    <w:rPr>
                      <w:b/>
                      <w:color w:val="5EB439"/>
                      <w:sz w:val="20"/>
                      <w:szCs w:val="20"/>
                    </w:rPr>
                  </w:pPr>
                  <w:r>
                    <w:rPr>
                      <w:rFonts w:ascii="宋体" w:hAnsi="宋体" w:eastAsia="宋体" w:cs="宋体"/>
                      <w:b/>
                      <w:color w:val="000000"/>
                      <w:kern w:val="0"/>
                      <w:sz w:val="28"/>
                      <w:szCs w:val="28"/>
                      <w:bdr w:val="none" w:color="auto" w:sz="0" w:space="0"/>
                      <w:lang w:val="en-US" w:eastAsia="zh-CN" w:bidi="ar"/>
                    </w:rPr>
                    <w:t>合肥学院硕士研究生入学考试《数据结构》考试大纲</w:t>
                  </w:r>
                </w:p>
              </w:tc>
            </w:tr>
          </w:tbl>
          <w:p>
            <w:pPr>
              <w:rPr>
                <w:vanish/>
                <w:sz w:val="24"/>
                <w:szCs w:val="24"/>
              </w:rPr>
            </w:pPr>
          </w:p>
          <w:tbl>
            <w:tblPr>
              <w:tblW w:w="4100" w:type="pct"/>
              <w:tblInd w:w="0" w:type="dxa"/>
              <w:shd w:val="clear"/>
              <w:tblLayout w:type="autofit"/>
              <w:tblCellMar>
                <w:top w:w="0" w:type="dxa"/>
                <w:left w:w="0" w:type="dxa"/>
                <w:bottom w:w="0" w:type="dxa"/>
                <w:right w:w="0" w:type="dxa"/>
              </w:tblCellMar>
            </w:tblPr>
            <w:tblGrid>
              <w:gridCol w:w="6811"/>
            </w:tblGrid>
            <w:tr>
              <w:tblPrEx>
                <w:shd w:val="clear"/>
                <w:tblCellMar>
                  <w:top w:w="0" w:type="dxa"/>
                  <w:left w:w="0" w:type="dxa"/>
                  <w:bottom w:w="0" w:type="dxa"/>
                  <w:right w:w="0" w:type="dxa"/>
                </w:tblCellMar>
              </w:tblPrEx>
              <w:trPr>
                <w:trHeight w:val="40" w:hRule="atLeast"/>
              </w:trPr>
              <w:tc>
                <w:tcPr>
                  <w:tcW w:w="0" w:type="auto"/>
                  <w:shd w:val="clear"/>
                  <w:vAlign w:val="center"/>
                </w:tcPr>
                <w:p>
                  <w:pPr>
                    <w:keepNext w:val="0"/>
                    <w:keepLines w:val="0"/>
                    <w:widowControl/>
                    <w:suppressLineNumbers w:val="0"/>
                    <w:spacing w:before="0" w:beforeAutospacing="0" w:after="0" w:afterAutospacing="0"/>
                    <w:ind w:left="0" w:right="0"/>
                    <w:jc w:val="left"/>
                    <w:rPr>
                      <w:sz w:val="18"/>
                      <w:szCs w:val="18"/>
                    </w:rPr>
                  </w:pPr>
                  <w:r>
                    <w:rPr>
                      <w:rFonts w:ascii="宋体" w:hAnsi="宋体" w:eastAsia="宋体" w:cs="宋体"/>
                      <w:kern w:val="0"/>
                      <w:sz w:val="18"/>
                      <w:szCs w:val="18"/>
                      <w:bdr w:val="none" w:color="auto" w:sz="0" w:space="0"/>
                      <w:lang w:val="en-US" w:eastAsia="zh-CN" w:bidi="ar"/>
                    </w:rPr>
                    <w:t> </w:t>
                  </w:r>
                </w:p>
              </w:tc>
            </w:tr>
          </w:tbl>
          <w:p>
            <w:pPr>
              <w:rPr>
                <w:vanish/>
                <w:sz w:val="24"/>
                <w:szCs w:val="24"/>
              </w:rPr>
            </w:pPr>
          </w:p>
          <w:tbl>
            <w:tblPr>
              <w:tblW w:w="4100" w:type="pct"/>
              <w:jc w:val="center"/>
              <w:shd w:val="clear"/>
              <w:tblLayout w:type="autofit"/>
              <w:tblCellMar>
                <w:top w:w="0" w:type="dxa"/>
                <w:left w:w="0" w:type="dxa"/>
                <w:bottom w:w="0" w:type="dxa"/>
                <w:right w:w="0" w:type="dxa"/>
              </w:tblCellMar>
            </w:tblPr>
            <w:tblGrid>
              <w:gridCol w:w="6811"/>
            </w:tblGrid>
            <w:tr>
              <w:tblPrEx>
                <w:shd w:val="clear"/>
                <w:tblCellMar>
                  <w:top w:w="0" w:type="dxa"/>
                  <w:left w:w="0" w:type="dxa"/>
                  <w:bottom w:w="0" w:type="dxa"/>
                  <w:right w:w="0" w:type="dxa"/>
                </w:tblCellMar>
              </w:tblPrEx>
              <w:trPr>
                <w:trHeight w:val="281" w:hRule="atLeast"/>
                <w:jc w:val="center"/>
              </w:trPr>
              <w:tc>
                <w:tcPr>
                  <w:tcW w:w="0" w:type="auto"/>
                  <w:shd w:val="clear"/>
                  <w:vAlign w:val="center"/>
                </w:tcPr>
                <w:p>
                  <w:pPr>
                    <w:keepNext w:val="0"/>
                    <w:keepLines w:val="0"/>
                    <w:widowControl/>
                    <w:suppressLineNumbers w:val="0"/>
                    <w:spacing w:before="0" w:beforeAutospacing="0" w:after="0" w:afterAutospacing="0"/>
                    <w:ind w:left="0" w:right="0"/>
                    <w:jc w:val="center"/>
                    <w:rPr>
                      <w:sz w:val="18"/>
                      <w:szCs w:val="18"/>
                    </w:rPr>
                  </w:pPr>
                  <w:r>
                    <w:rPr>
                      <w:rFonts w:ascii="宋体" w:hAnsi="宋体" w:eastAsia="宋体" w:cs="宋体"/>
                      <w:kern w:val="0"/>
                      <w:sz w:val="18"/>
                      <w:szCs w:val="18"/>
                      <w:bdr w:val="none" w:color="auto" w:sz="0" w:space="0"/>
                      <w:lang w:val="en-US" w:eastAsia="zh-CN" w:bidi="ar"/>
                    </w:rPr>
                    <w:t>发布人：研究生教育  发布时间：2019-12-10   浏览次数:322</w:t>
                  </w:r>
                </w:p>
              </w:tc>
            </w:tr>
          </w:tbl>
          <w:p>
            <w:pPr>
              <w:rPr>
                <w:vanish/>
                <w:sz w:val="24"/>
                <w:szCs w:val="24"/>
              </w:rPr>
            </w:pPr>
          </w:p>
          <w:tbl>
            <w:tblPr>
              <w:tblW w:w="4100" w:type="pct"/>
              <w:tblInd w:w="0" w:type="dxa"/>
              <w:shd w:val="clear"/>
              <w:tblLayout w:type="autofit"/>
              <w:tblCellMar>
                <w:top w:w="0" w:type="dxa"/>
                <w:left w:w="0" w:type="dxa"/>
                <w:bottom w:w="0" w:type="dxa"/>
                <w:right w:w="0" w:type="dxa"/>
              </w:tblCellMar>
            </w:tblPr>
            <w:tblGrid>
              <w:gridCol w:w="6811"/>
            </w:tblGrid>
            <w:tr>
              <w:tblPrEx>
                <w:tblCellMar>
                  <w:top w:w="0" w:type="dxa"/>
                  <w:left w:w="0" w:type="dxa"/>
                  <w:bottom w:w="0" w:type="dxa"/>
                  <w:right w:w="0" w:type="dxa"/>
                </w:tblCellMar>
              </w:tblPrEx>
              <w:trPr>
                <w:trHeight w:val="201" w:hRule="atLeast"/>
              </w:trPr>
              <w:tc>
                <w:tcPr>
                  <w:tcW w:w="0" w:type="auto"/>
                  <w:shd w:val="clear"/>
                  <w:vAlign w:val="center"/>
                </w:tcPr>
                <w:p>
                  <w:pPr>
                    <w:jc w:val="left"/>
                    <w:rPr>
                      <w:rFonts w:hint="eastAsia" w:ascii="宋体"/>
                      <w:sz w:val="18"/>
                      <w:szCs w:val="18"/>
                    </w:rPr>
                  </w:pPr>
                </w:p>
              </w:tc>
            </w:tr>
          </w:tbl>
          <w:p>
            <w:pPr>
              <w:jc w:val="left"/>
              <w:rPr>
                <w:sz w:val="18"/>
                <w:szCs w:val="18"/>
              </w:rPr>
            </w:pPr>
          </w:p>
        </w:tc>
      </w:tr>
    </w:tbl>
    <w:p>
      <w:pPr>
        <w:rPr>
          <w:vanish/>
          <w:sz w:val="24"/>
          <w:szCs w:val="24"/>
        </w:rPr>
      </w:pPr>
    </w:p>
    <w:tbl>
      <w:tblPr>
        <w:tblW w:w="5000" w:type="pct"/>
        <w:tblInd w:w="0" w:type="dxa"/>
        <w:shd w:val="clear"/>
        <w:tblLayout w:type="autofit"/>
        <w:tblCellMar>
          <w:top w:w="0" w:type="dxa"/>
          <w:left w:w="0" w:type="dxa"/>
          <w:bottom w:w="0" w:type="dxa"/>
          <w:right w:w="0" w:type="dxa"/>
        </w:tblCellMar>
      </w:tblPr>
      <w:tblGrid>
        <w:gridCol w:w="8306"/>
      </w:tblGrid>
      <w:tr>
        <w:tblPrEx>
          <w:shd w:val="clear"/>
        </w:tblPrEx>
        <w:tc>
          <w:tcPr>
            <w:tcW w:w="0" w:type="auto"/>
            <w:shd w:val="clear"/>
            <w:vAlign w:val="top"/>
          </w:tcPr>
          <w:tbl>
            <w:tblPr>
              <w:tblW w:w="4100" w:type="pct"/>
              <w:jc w:val="center"/>
              <w:shd w:val="clear"/>
              <w:tblLayout w:type="autofit"/>
              <w:tblCellMar>
                <w:top w:w="0" w:type="dxa"/>
                <w:left w:w="0" w:type="dxa"/>
                <w:bottom w:w="0" w:type="dxa"/>
                <w:right w:w="0" w:type="dxa"/>
              </w:tblCellMar>
            </w:tblPr>
            <w:tblGrid>
              <w:gridCol w:w="6811"/>
            </w:tblGrid>
            <w:tr>
              <w:tblPrEx>
                <w:shd w:val="clear"/>
                <w:tblCellMar>
                  <w:top w:w="0" w:type="dxa"/>
                  <w:left w:w="0" w:type="dxa"/>
                  <w:bottom w:w="0" w:type="dxa"/>
                  <w:right w:w="0" w:type="dxa"/>
                </w:tblCellMar>
              </w:tblPrEx>
              <w:trPr>
                <w:trHeight w:val="3601" w:hRule="atLeast"/>
                <w:jc w:val="center"/>
              </w:trPr>
              <w:tc>
                <w:tcPr>
                  <w:tcW w:w="0" w:type="auto"/>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一、考试的总体要求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270"/>
                    <w:jc w:val="left"/>
                    <w:rPr>
                      <w:rFonts w:hint="eastAsia" w:ascii="宋体" w:hAnsi="宋体" w:eastAsia="宋体" w:cs="宋体"/>
                      <w:sz w:val="22"/>
                      <w:szCs w:val="22"/>
                    </w:rPr>
                  </w:pPr>
                  <w:r>
                    <w:rPr>
                      <w:rFonts w:hint="eastAsia" w:ascii="宋体" w:hAnsi="宋体" w:eastAsia="宋体" w:cs="宋体"/>
                      <w:sz w:val="22"/>
                      <w:szCs w:val="22"/>
                      <w:bdr w:val="none" w:color="auto" w:sz="0" w:space="0"/>
                    </w:rPr>
                    <w:t>本考试大纲适用于报考合肥学院化工大数据方向的硕士研究生入学考试。《数据结构》不仅是大学本科计算机类专业的专业基础课，也是其他从事计算机信息处理专业的一门重要的基础课程。它主要考查考生对数据的组织、存储、处理等能力，算法设计以及对算法的分析和评价的掌握程度。要求考生理解数据结构的逻辑结构和物理结构的基本概念，熟练掌握各种数据结构以及有关算法，并具有综合运用所学知识分析和解决实际问题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二、考试的内容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（一）数据结构的基本概念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1．什么是数据结构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2．逻辑结构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3．存储结构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4．算法和算法分析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（二）线性表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1．线性表的基本概念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2．线性表的顺序表示和实现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3．线性链表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4．循环链表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5．双向链表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6．链表的应用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（三）栈和队列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1．栈和队列的基本概念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2．栈的顺序实现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3．栈的链式实现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4．栈的应用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5．栈与递归的实现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6．队列的顺序实现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7．队列的链式实现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（四）串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1．串的定义、性质和特点；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2．串的设计、实现方法和基本操作；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3．串的朴素模式匹配算法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4．KMP模式匹配算法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（五）数组和广义表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1．数组的顺序表示和实现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2．特殊矩阵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3．稀疏矩阵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4．广义表的定义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5．广义表的存储结构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6．广义表的运算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（六）树和二叉树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1．树的定义和基本术语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2．二叉树的定义和性质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3．二叉树的顺序存储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4．二叉树的链式存储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5．遍历二叉树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6．线索二叉树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7．树的存储结构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8．森林与二叉树的转换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9．树和森林的遍历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10．树与等价问题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11．哈夫曼树及其应用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（七）图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1．图的定义和基本术语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2．图的数组表示法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3．邻接表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4．十字链表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5．邻接多重表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6．图的深度优先搜索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7．图的广度优先搜索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8．无向图的连通分量和生成树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9．有向图的强连通分量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10．最小生成树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11．拓扑排序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12．关键路径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（八）查找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1．查找的基本概念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2．顺序查找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3．二分查找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4．分块查找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5．二叉排序树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6．平衡二叉树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7．散列查找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（九）内部排序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1．直接插入排序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2．希尔排序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3．冒泡排序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4．快速排序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5．简单选择排序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6．树形选择排序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7．堆排序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8．归并排序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9．基数排序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10．各种内部排序方法的比较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三、考试的基本题型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选择题、填空题、简答题、算法设计题、综合题等。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5" w:lineRule="atLeast"/>
                    <w:ind w:left="0" w:right="0" w:firstLine="320"/>
                    <w:jc w:val="left"/>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四、考试的形式及时间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rPr>
                      <w:rFonts w:hint="eastAsia" w:ascii="宋体" w:hAnsi="宋体" w:eastAsia="宋体" w:cs="宋体"/>
                      <w:sz w:val="22"/>
                      <w:szCs w:val="22"/>
                    </w:rPr>
                  </w:pPr>
                  <w:r>
                    <w:rPr>
                      <w:rFonts w:hint="eastAsia" w:ascii="宋体" w:hAnsi="宋体" w:eastAsia="宋体" w:cs="宋体"/>
                      <w:sz w:val="22"/>
                      <w:szCs w:val="22"/>
                      <w:bdr w:val="none" w:color="auto" w:sz="0" w:space="0"/>
                    </w:rPr>
                    <w:t>笔试，不需要任何辅助工具。试卷总分150分，考试时间为三小时。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line="368" w:lineRule="atLeast"/>
                    <w:ind w:left="0" w:right="0"/>
                    <w:jc w:val="left"/>
                    <w:rPr>
                      <w:rFonts w:hint="eastAsia" w:ascii="宋体" w:hAnsi="宋体" w:eastAsia="宋体" w:cs="宋体"/>
                      <w:sz w:val="22"/>
                      <w:szCs w:val="22"/>
                    </w:rPr>
                  </w:pPr>
                  <w:r>
                    <w:rPr>
                      <w:rFonts w:hint="eastAsia" w:ascii="宋体" w:hAnsi="宋体" w:eastAsia="宋体" w:cs="宋体"/>
                      <w:sz w:val="22"/>
                      <w:szCs w:val="22"/>
                      <w:bdr w:val="none" w:color="auto" w:sz="0" w:space="0"/>
                    </w:rPr>
                    <w:t>五、参考教材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pPr>
                  <w:r>
                    <w:rPr>
                      <w:rFonts w:hint="eastAsia" w:ascii="宋体" w:hAnsi="宋体" w:eastAsia="宋体" w:cs="宋体"/>
                      <w:sz w:val="22"/>
                      <w:szCs w:val="22"/>
                      <w:bdr w:val="none" w:color="auto" w:sz="0" w:space="0"/>
                    </w:rPr>
                    <w:t>严蔚敏、吴伟民等。《数据结构》（C 语言版），清华大学出版社。</w:t>
                  </w:r>
                  <w:r>
                    <w:rPr>
                      <w:rFonts w:hint="eastAsia" w:ascii="微软雅黑" w:hAnsi="微软雅黑" w:eastAsia="微软雅黑" w:cs="微软雅黑"/>
                      <w:color w:val="FFFFFF"/>
                      <w:sz w:val="24"/>
                      <w:szCs w:val="24"/>
                      <w:bdr w:val="none" w:color="auto" w:sz="0" w:space="0"/>
                    </w:rPr>
                    <w:t>言版），清华大学出版社。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320"/>
                    <w:jc w:val="left"/>
                  </w:pPr>
                  <w:r>
                    <w:rPr>
                      <w:rFonts w:hint="eastAsia" w:ascii="微软雅黑" w:hAnsi="微软雅黑" w:eastAsia="微软雅黑" w:cs="微软雅黑"/>
                      <w:color w:val="FFFFFF"/>
                      <w:sz w:val="24"/>
                      <w:szCs w:val="24"/>
                      <w:bdr w:val="none" w:color="auto" w:sz="0" w:space="0"/>
                    </w:rPr>
                    <w:t>.使用教材严蔚敏、吴伟民等。《</w:t>
                  </w:r>
                  <w:r>
                    <w:rPr>
                      <w:rStyle w:val="5"/>
                      <w:rFonts w:hint="eastAsia" w:ascii="微软雅黑" w:hAnsi="微软雅黑" w:eastAsia="微软雅黑" w:cs="微软雅黑"/>
                      <w:color w:val="FFFFFF"/>
                      <w:sz w:val="24"/>
                      <w:szCs w:val="24"/>
                      <w:bdr w:val="none" w:color="auto" w:sz="0" w:space="0"/>
                    </w:rPr>
                    <w:t>数据结构》（C 语言</w:t>
                  </w:r>
                </w:p>
              </w:tc>
            </w:tr>
          </w:tbl>
          <w:p>
            <w:pPr>
              <w:jc w:val="left"/>
              <w:rPr>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648F6"/>
    <w:rsid w:val="1C06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2020-03-01T03:16:00Z</dcterms:created>
  <dc:creator>倩倩</dc:creator>
  <cp:lastModifiedBy>倩倩</cp:lastModifiedBy>
  <dcterms:modified xsi:type="dcterms:W3CDTF">2020-03-01T03:35:40Z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