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PrEx>
        <w:trPr>
          <w:tblCellSpacing w:w="0" w:type="dxa"/>
        </w:trPr>
        <w:tc>
          <w:tcPr>
            <w:tcW w:w="0" w:type="auto"/>
            <w:shd w:val="clear"/>
            <w:vAlign w:val="center"/>
          </w:tcPr>
          <w:p>
            <w:pPr>
              <w:pStyle w:val="2"/>
              <w:keepNext w:val="0"/>
              <w:keepLines w:val="0"/>
              <w:widowControl/>
              <w:suppressLineNumbers w:val="0"/>
              <w:jc w:val="center"/>
            </w:pPr>
            <w:r>
              <w:rPr>
                <w:rStyle w:val="6"/>
                <w:rFonts w:hint="eastAsia" w:ascii="宋体" w:hAnsi="宋体" w:eastAsia="宋体" w:cs="宋体"/>
                <w:color w:val="333333"/>
                <w:sz w:val="20"/>
                <w:szCs w:val="20"/>
              </w:rPr>
              <w:t>海运学院2018年拟推荐推免生名单公示</w:t>
            </w:r>
          </w:p>
        </w:tc>
      </w:tr>
      <w:tr>
        <w:tblPrEx>
          <w:shd w:val="clear"/>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val="0"/>
              <w:suppressLineNumbers w:val="0"/>
              <w:spacing w:before="0" w:beforeAutospacing="0" w:after="0" w:afterAutospacing="0" w:line="560" w:lineRule="exact"/>
              <w:ind w:left="0" w:right="0"/>
              <w:jc w:val="center"/>
            </w:pPr>
            <w:bookmarkStart w:id="0" w:name="_GoBack"/>
            <w:bookmarkEnd w:id="0"/>
          </w:p>
          <w:p>
            <w:pPr>
              <w:keepNext w:val="0"/>
              <w:keepLines w:val="0"/>
              <w:widowControl w:val="0"/>
              <w:suppressLineNumbers w:val="0"/>
              <w:spacing w:before="0" w:beforeAutospacing="0" w:after="0" w:afterAutospacing="0" w:line="560" w:lineRule="exact"/>
              <w:ind w:left="0" w:right="0"/>
              <w:jc w:val="left"/>
            </w:pPr>
            <w:r>
              <w:rPr>
                <w:rFonts w:hint="eastAsia" w:ascii="宋体" w:hAnsi="宋体" w:eastAsia="宋体" w:cs="宋体"/>
                <w:color w:val="333333"/>
                <w:kern w:val="2"/>
                <w:sz w:val="28"/>
                <w:szCs w:val="28"/>
                <w:lang w:val="en-US" w:eastAsia="zh-CN" w:bidi="ar"/>
              </w:rPr>
              <w:t xml:space="preserve">   </w:t>
            </w:r>
            <w:r>
              <w:rPr>
                <w:rFonts w:hint="default" w:ascii="仿宋_GB2312" w:hAnsi="仿宋" w:eastAsia="仿宋_GB2312" w:cs="仿宋_GB2312"/>
                <w:color w:val="333333"/>
                <w:kern w:val="2"/>
                <w:sz w:val="32"/>
                <w:szCs w:val="32"/>
                <w:lang w:val="en-US" w:eastAsia="zh-CN" w:bidi="ar"/>
              </w:rPr>
              <w:t>根据《天津理工大学推荐优秀应届本科毕业生免试攻读硕士学位研究生办法（试行）》和天津理工大学海运学院优秀应届本科毕业生免试攻读硕士学位研究生实施细则（试行），海运学院拟推荐推免生名单如下：</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1339"/>
              <w:gridCol w:w="1148"/>
              <w:gridCol w:w="1494"/>
              <w:gridCol w:w="1271"/>
              <w:gridCol w:w="1692"/>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学号</w:t>
                  </w:r>
                </w:p>
              </w:tc>
              <w:tc>
                <w:tcPr>
                  <w:tcW w:w="1200"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姓名</w:t>
                  </w:r>
                </w:p>
              </w:tc>
              <w:tc>
                <w:tcPr>
                  <w:tcW w:w="157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学院</w:t>
                  </w:r>
                </w:p>
              </w:tc>
              <w:tc>
                <w:tcPr>
                  <w:tcW w:w="133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专业</w:t>
                  </w:r>
                </w:p>
              </w:tc>
              <w:tc>
                <w:tcPr>
                  <w:tcW w:w="1704"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必修课加权平均成绩及排名</w:t>
                  </w:r>
                </w:p>
              </w:tc>
              <w:tc>
                <w:tcPr>
                  <w:tcW w:w="135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综合成绩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20153174</w:t>
                  </w:r>
                </w:p>
              </w:tc>
              <w:tc>
                <w:tcPr>
                  <w:tcW w:w="1200"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李超亮</w:t>
                  </w:r>
                </w:p>
              </w:tc>
              <w:tc>
                <w:tcPr>
                  <w:tcW w:w="157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海运学院</w:t>
                  </w:r>
                </w:p>
              </w:tc>
              <w:tc>
                <w:tcPr>
                  <w:tcW w:w="133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航海技术</w:t>
                  </w:r>
                </w:p>
              </w:tc>
              <w:tc>
                <w:tcPr>
                  <w:tcW w:w="1704"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firstLine="480"/>
                    <w:jc w:val="center"/>
                  </w:pPr>
                  <w:r>
                    <w:rPr>
                      <w:rFonts w:hint="default" w:ascii="仿宋_GB2312" w:hAnsi="仿宋" w:eastAsia="仿宋_GB2312" w:cs="Times New Roman"/>
                      <w:color w:val="333333"/>
                      <w:kern w:val="2"/>
                      <w:sz w:val="24"/>
                      <w:szCs w:val="24"/>
                      <w:bdr w:val="none" w:color="auto" w:sz="0" w:space="0"/>
                      <w:lang w:val="en-US" w:eastAsia="zh-CN" w:bidi="ar"/>
                    </w:rPr>
                    <w:t>90.1/1</w:t>
                  </w:r>
                </w:p>
              </w:tc>
              <w:tc>
                <w:tcPr>
                  <w:tcW w:w="135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firstLine="480"/>
                    <w:jc w:val="center"/>
                  </w:pPr>
                  <w:r>
                    <w:rPr>
                      <w:rFonts w:hint="default" w:ascii="仿宋_GB2312" w:hAnsi="仿宋" w:eastAsia="仿宋_GB2312" w:cs="Times New Roman"/>
                      <w:color w:val="333333"/>
                      <w:kern w:val="2"/>
                      <w:sz w:val="24"/>
                      <w:szCs w:val="24"/>
                      <w:bdr w:val="none" w:color="auto" w:sz="0" w:space="0"/>
                      <w:lang w:val="en-US" w:eastAsia="zh-CN" w:bidi="ar"/>
                    </w:rPr>
                    <w:t>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20153289</w:t>
                  </w:r>
                </w:p>
              </w:tc>
              <w:tc>
                <w:tcPr>
                  <w:tcW w:w="1200"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黄兴烨</w:t>
                  </w:r>
                </w:p>
              </w:tc>
              <w:tc>
                <w:tcPr>
                  <w:tcW w:w="157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海运学院</w:t>
                  </w:r>
                </w:p>
              </w:tc>
              <w:tc>
                <w:tcPr>
                  <w:tcW w:w="1332"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jc w:val="center"/>
                  </w:pPr>
                  <w:r>
                    <w:rPr>
                      <w:rFonts w:hint="default" w:ascii="仿宋_GB2312" w:hAnsi="仿宋" w:eastAsia="仿宋_GB2312" w:cs="Times New Roman"/>
                      <w:color w:val="333333"/>
                      <w:kern w:val="2"/>
                      <w:sz w:val="24"/>
                      <w:szCs w:val="24"/>
                      <w:bdr w:val="none" w:color="auto" w:sz="0" w:space="0"/>
                      <w:lang w:val="en-US" w:eastAsia="zh-CN" w:bidi="ar"/>
                    </w:rPr>
                    <w:t>轮机工程</w:t>
                  </w:r>
                </w:p>
              </w:tc>
              <w:tc>
                <w:tcPr>
                  <w:tcW w:w="1704"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firstLine="480"/>
                    <w:jc w:val="center"/>
                  </w:pPr>
                  <w:r>
                    <w:rPr>
                      <w:rFonts w:hint="default" w:ascii="仿宋_GB2312" w:hAnsi="仿宋" w:eastAsia="仿宋_GB2312" w:cs="Times New Roman"/>
                      <w:color w:val="333333"/>
                      <w:kern w:val="2"/>
                      <w:sz w:val="24"/>
                      <w:szCs w:val="24"/>
                      <w:bdr w:val="none" w:color="auto" w:sz="0" w:space="0"/>
                      <w:lang w:val="en-US" w:eastAsia="zh-CN" w:bidi="ar"/>
                    </w:rPr>
                    <w:t>88.08/1</w:t>
                  </w:r>
                </w:p>
              </w:tc>
              <w:tc>
                <w:tcPr>
                  <w:tcW w:w="135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60" w:lineRule="exact"/>
                    <w:ind w:left="0" w:right="0" w:firstLine="480"/>
                    <w:jc w:val="center"/>
                  </w:pPr>
                  <w:r>
                    <w:rPr>
                      <w:rFonts w:hint="default" w:ascii="仿宋_GB2312" w:hAnsi="仿宋" w:eastAsia="仿宋_GB2312" w:cs="Times New Roman"/>
                      <w:color w:val="333333"/>
                      <w:kern w:val="2"/>
                      <w:sz w:val="24"/>
                      <w:szCs w:val="24"/>
                      <w:bdr w:val="none" w:color="auto" w:sz="0" w:space="0"/>
                      <w:lang w:val="en-US" w:eastAsia="zh-CN" w:bidi="ar"/>
                    </w:rPr>
                    <w:t>88.08</w:t>
                  </w:r>
                </w:p>
              </w:tc>
            </w:tr>
          </w:tbl>
          <w:p>
            <w:pPr>
              <w:keepNext w:val="0"/>
              <w:keepLines w:val="0"/>
              <w:widowControl w:val="0"/>
              <w:suppressLineNumbers w:val="0"/>
              <w:spacing w:before="0" w:beforeAutospacing="0" w:after="0" w:afterAutospacing="0" w:line="560" w:lineRule="exact"/>
              <w:ind w:left="0" w:right="0" w:firstLine="640"/>
              <w:jc w:val="left"/>
            </w:pPr>
            <w:r>
              <w:rPr>
                <w:rFonts w:hint="default" w:ascii="仿宋_GB2312" w:hAnsi="仿宋" w:eastAsia="仿宋_GB2312" w:cs="仿宋_GB2312"/>
                <w:color w:val="333333"/>
                <w:kern w:val="2"/>
                <w:sz w:val="32"/>
                <w:szCs w:val="32"/>
                <w:lang w:val="en-US" w:eastAsia="zh-CN" w:bidi="ar"/>
              </w:rPr>
              <w:t>公示期为</w:t>
            </w:r>
            <w:r>
              <w:rPr>
                <w:rFonts w:hint="default" w:ascii="仿宋_GB2312" w:hAnsi="仿宋" w:eastAsia="仿宋_GB2312" w:cs="Times New Roman"/>
                <w:color w:val="333333"/>
                <w:kern w:val="2"/>
                <w:sz w:val="32"/>
                <w:szCs w:val="32"/>
                <w:lang w:val="en-US" w:eastAsia="zh-CN" w:bidi="ar"/>
              </w:rPr>
              <w:t>2018</w:t>
            </w:r>
            <w:r>
              <w:rPr>
                <w:rFonts w:hint="default" w:ascii="仿宋_GB2312" w:hAnsi="仿宋" w:eastAsia="仿宋_GB2312" w:cs="仿宋_GB2312"/>
                <w:color w:val="333333"/>
                <w:kern w:val="2"/>
                <w:sz w:val="32"/>
                <w:szCs w:val="32"/>
                <w:lang w:val="en-US" w:eastAsia="zh-CN" w:bidi="ar"/>
              </w:rPr>
              <w:t>年</w:t>
            </w:r>
            <w:r>
              <w:rPr>
                <w:rFonts w:hint="default" w:ascii="仿宋_GB2312" w:hAnsi="仿宋" w:eastAsia="仿宋_GB2312" w:cs="Times New Roman"/>
                <w:color w:val="333333"/>
                <w:kern w:val="2"/>
                <w:sz w:val="32"/>
                <w:szCs w:val="32"/>
                <w:lang w:val="en-US" w:eastAsia="zh-CN" w:bidi="ar"/>
              </w:rPr>
              <w:t>9月7</w:t>
            </w:r>
            <w:r>
              <w:rPr>
                <w:rFonts w:hint="default" w:ascii="仿宋_GB2312" w:hAnsi="仿宋" w:eastAsia="仿宋_GB2312" w:cs="仿宋_GB2312"/>
                <w:color w:val="333333"/>
                <w:kern w:val="2"/>
                <w:sz w:val="32"/>
                <w:szCs w:val="32"/>
                <w:lang w:val="en-US" w:eastAsia="zh-CN" w:bidi="ar"/>
              </w:rPr>
              <w:t>日</w:t>
            </w:r>
            <w:r>
              <w:rPr>
                <w:rFonts w:hint="default" w:ascii="仿宋_GB2312" w:hAnsi="仿宋" w:eastAsia="仿宋_GB2312" w:cs="Times New Roman"/>
                <w:color w:val="333333"/>
                <w:kern w:val="2"/>
                <w:sz w:val="32"/>
                <w:szCs w:val="32"/>
                <w:lang w:val="en-US" w:eastAsia="zh-CN" w:bidi="ar"/>
              </w:rPr>
              <w:t>-2018</w:t>
            </w:r>
            <w:r>
              <w:rPr>
                <w:rFonts w:hint="default" w:ascii="仿宋_GB2312" w:hAnsi="仿宋" w:eastAsia="仿宋_GB2312" w:cs="仿宋_GB2312"/>
                <w:color w:val="333333"/>
                <w:kern w:val="2"/>
                <w:sz w:val="32"/>
                <w:szCs w:val="32"/>
                <w:lang w:val="en-US" w:eastAsia="zh-CN" w:bidi="ar"/>
              </w:rPr>
              <w:t>年</w:t>
            </w:r>
            <w:r>
              <w:rPr>
                <w:rFonts w:hint="default" w:ascii="仿宋_GB2312" w:hAnsi="仿宋" w:eastAsia="仿宋_GB2312" w:cs="Times New Roman"/>
                <w:color w:val="333333"/>
                <w:kern w:val="2"/>
                <w:sz w:val="32"/>
                <w:szCs w:val="32"/>
                <w:lang w:val="en-US" w:eastAsia="zh-CN" w:bidi="ar"/>
              </w:rPr>
              <w:t>9月9</w:t>
            </w:r>
            <w:r>
              <w:rPr>
                <w:rFonts w:hint="default" w:ascii="仿宋_GB2312" w:hAnsi="仿宋" w:eastAsia="仿宋_GB2312" w:cs="仿宋_GB2312"/>
                <w:color w:val="333333"/>
                <w:kern w:val="2"/>
                <w:sz w:val="32"/>
                <w:szCs w:val="32"/>
                <w:lang w:val="en-US" w:eastAsia="zh-CN" w:bidi="ar"/>
              </w:rPr>
              <w:t>日，对上述公示内容如有异议，请向海运学院教务办</w:t>
            </w:r>
            <w:r>
              <w:rPr>
                <w:rFonts w:hint="default" w:ascii="仿宋_GB2312" w:hAnsi="仿宋" w:eastAsia="仿宋_GB2312" w:cs="Times New Roman"/>
                <w:color w:val="333333"/>
                <w:kern w:val="2"/>
                <w:sz w:val="32"/>
                <w:szCs w:val="32"/>
                <w:lang w:val="en-US" w:eastAsia="zh-CN" w:bidi="ar"/>
              </w:rPr>
              <w:t>27-B307</w:t>
            </w:r>
            <w:r>
              <w:rPr>
                <w:rFonts w:hint="default" w:ascii="仿宋_GB2312" w:hAnsi="仿宋" w:eastAsia="仿宋_GB2312" w:cs="仿宋_GB2312"/>
                <w:color w:val="333333"/>
                <w:kern w:val="2"/>
                <w:sz w:val="32"/>
                <w:szCs w:val="32"/>
                <w:lang w:val="en-US" w:eastAsia="zh-CN" w:bidi="ar"/>
              </w:rPr>
              <w:t>反映或致电</w:t>
            </w:r>
            <w:r>
              <w:rPr>
                <w:rFonts w:hint="default" w:ascii="仿宋_GB2312" w:hAnsi="仿宋" w:eastAsia="仿宋_GB2312" w:cs="Times New Roman"/>
                <w:color w:val="333333"/>
                <w:kern w:val="2"/>
                <w:sz w:val="32"/>
                <w:szCs w:val="32"/>
                <w:lang w:val="en-US" w:eastAsia="zh-CN" w:bidi="ar"/>
              </w:rPr>
              <w:t>60214058。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C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4">
    <w:name w:val="Table Grid"/>
    <w:basedOn w:val="3"/>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9">
    <w:name w:val="17"/>
    <w:basedOn w:val="5"/>
    <w:uiPriority w:val="0"/>
    <w:rPr>
      <w:rFonts w:hint="default" w:ascii="Calibri Light" w:hAnsi="Calibri Light" w:eastAsia="宋体" w:cs="Times New Roman"/>
      <w:b/>
      <w:sz w:val="32"/>
      <w:szCs w:val="32"/>
    </w:rPr>
  </w:style>
  <w:style w:type="character" w:customStyle="1" w:styleId="10">
    <w:name w:val="16"/>
    <w:basedOn w:val="5"/>
    <w:uiPriority w:val="0"/>
    <w:rPr>
      <w:rFonts w:hint="default" w:ascii="Times New Roman" w:hAnsi="Times New Roman" w:cs="Times New Roman"/>
      <w:sz w:val="18"/>
      <w:szCs w:val="18"/>
    </w:rPr>
  </w:style>
  <w:style w:type="character" w:customStyle="1" w:styleId="11">
    <w:name w:val="10"/>
    <w:basedOn w:val="5"/>
    <w:uiPriority w:val="0"/>
    <w:rPr>
      <w:rFonts w:hint="default" w:ascii="Times New Roman" w:hAnsi="Times New Roman" w:cs="Times New Roman"/>
    </w:rPr>
  </w:style>
  <w:style w:type="character" w:customStyle="1" w:styleId="12">
    <w:name w:val="18"/>
    <w:basedOn w:val="5"/>
    <w:uiPriority w:val="0"/>
    <w:rPr>
      <w:rFonts w:hint="default" w:ascii="Times New Roman" w:hAnsi="Times New Roman" w:cs="Times New Roman"/>
    </w:rPr>
  </w:style>
  <w:style w:type="character" w:customStyle="1" w:styleId="13">
    <w:name w:val="19"/>
    <w:basedOn w:val="5"/>
    <w:uiPriority w:val="0"/>
    <w:rPr>
      <w:rFonts w:hint="default" w:ascii="Times New Roman" w:hAnsi="Times New Roman" w:cs="Times New Roman"/>
      <w:sz w:val="18"/>
      <w:szCs w:val="18"/>
    </w:rPr>
  </w:style>
  <w:style w:type="character" w:customStyle="1" w:styleId="14">
    <w:name w:val="15"/>
    <w:basedOn w:val="5"/>
    <w:uiPriority w:val="0"/>
    <w:rPr>
      <w:rFonts w:hint="default" w:ascii="Times New Roman" w:hAnsi="Times New Roman" w:cs="Times New Roman"/>
      <w:sz w:val="18"/>
      <w:szCs w:val="18"/>
    </w:rPr>
  </w:style>
  <w:style w:type="character" w:customStyle="1" w:styleId="15">
    <w:name w:val="timestyle542971"/>
    <w:basedOn w:val="5"/>
    <w:uiPriority w:val="0"/>
    <w:rPr>
      <w:sz w:val="18"/>
      <w:szCs w:val="18"/>
    </w:rPr>
  </w:style>
  <w:style w:type="character" w:customStyle="1" w:styleId="16">
    <w:name w:val="authorstyle542971"/>
    <w:basedOn w:val="5"/>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2020-03-01T11:12:52Z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