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bookmarkStart w:id="0" w:name="_GoBack"/>
      <w:r>
        <w:rPr>
          <w:rFonts w:hint="default"/>
          <w:lang w:val="en-US" w:eastAsia="zh-CN"/>
        </w:rPr>
        <w:t>天津理工大学2020年硕士研究生以单考单招方式招收听障学生的通知</w:t>
      </w:r>
    </w:p>
    <w:bookmarkEnd w:id="0"/>
    <w:p>
      <w:r>
        <w:rPr>
          <w:rFonts w:hint="default"/>
          <w:lang w:val="en-US" w:eastAsia="zh-CN"/>
        </w:rPr>
        <w:t xml:space="preserve">    2020年我校硕士（听障）招生专业面向全国以单考单招方式招收全日制攻读硕士学位的听障学生。拟招生人数10人左右，实际招生数以教育部正式下达招生计划为准。</w:t>
      </w:r>
    </w:p>
    <w:p>
      <w:r>
        <w:rPr>
          <w:rFonts w:hint="default"/>
          <w:lang w:val="en-US" w:eastAsia="zh-CN"/>
        </w:rPr>
        <w:t>招收专业</w:t>
      </w:r>
    </w:p>
    <w:tbl>
      <w:tblPr>
        <w:tblStyle w:val="3"/>
        <w:tblW w:w="8599" w:type="dxa"/>
        <w:tblInd w:w="93" w:type="dxa"/>
        <w:shd w:val="clear"/>
        <w:tblLayout w:type="autofit"/>
        <w:tblCellMar>
          <w:top w:w="0" w:type="dxa"/>
          <w:left w:w="0" w:type="dxa"/>
          <w:bottom w:w="0" w:type="dxa"/>
          <w:right w:w="0" w:type="dxa"/>
        </w:tblCellMar>
      </w:tblPr>
      <w:tblGrid>
        <w:gridCol w:w="960"/>
        <w:gridCol w:w="960"/>
        <w:gridCol w:w="960"/>
        <w:gridCol w:w="1294"/>
        <w:gridCol w:w="868"/>
        <w:gridCol w:w="3557"/>
      </w:tblGrid>
      <w:tr>
        <w:tblPrEx>
          <w:shd w:val="clear"/>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r>
              <w:rPr>
                <w:rFonts w:hint="eastAsia"/>
                <w:lang w:val="en-US" w:eastAsia="zh-CN"/>
              </w:rPr>
              <w:t>考试方式</w:t>
            </w:r>
          </w:p>
        </w:tc>
        <w:tc>
          <w:tcPr>
            <w:tcW w:w="96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r>
              <w:rPr>
                <w:rFonts w:hint="eastAsia"/>
                <w:lang w:val="en-US" w:eastAsia="zh-CN"/>
              </w:rPr>
              <w:t>院系所</w:t>
            </w:r>
          </w:p>
        </w:tc>
        <w:tc>
          <w:tcPr>
            <w:tcW w:w="96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r>
              <w:rPr>
                <w:rFonts w:hint="eastAsia"/>
                <w:lang w:val="en-US" w:eastAsia="zh-CN"/>
              </w:rPr>
              <w:t>专业</w:t>
            </w:r>
          </w:p>
        </w:tc>
        <w:tc>
          <w:tcPr>
            <w:tcW w:w="129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r>
              <w:rPr>
                <w:rFonts w:hint="eastAsia"/>
                <w:lang w:val="en-US" w:eastAsia="zh-CN"/>
              </w:rPr>
              <w:t>研究方向</w:t>
            </w:r>
          </w:p>
        </w:tc>
        <w:tc>
          <w:tcPr>
            <w:tcW w:w="868"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r>
              <w:rPr>
                <w:rFonts w:hint="eastAsia"/>
                <w:lang w:val="en-US" w:eastAsia="zh-CN"/>
              </w:rPr>
              <w:t>学习方式</w:t>
            </w:r>
          </w:p>
        </w:tc>
        <w:tc>
          <w:tcPr>
            <w:tcW w:w="35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r>
              <w:rPr>
                <w:rFonts w:hint="eastAsia"/>
                <w:lang w:val="en-US" w:eastAsia="zh-CN"/>
              </w:rPr>
              <w:t>考试科目</w:t>
            </w:r>
          </w:p>
        </w:tc>
      </w:tr>
      <w:tr>
        <w:tblPrEx>
          <w:shd w:val="clear"/>
          <w:tblCellMar>
            <w:top w:w="0" w:type="dxa"/>
            <w:left w:w="0" w:type="dxa"/>
            <w:bottom w:w="0" w:type="dxa"/>
            <w:right w:w="0" w:type="dxa"/>
          </w:tblCellMar>
        </w:tblPrEx>
        <w:trPr>
          <w:trHeight w:val="1392" w:hRule="atLeast"/>
        </w:trPr>
        <w:tc>
          <w:tcPr>
            <w:tcW w:w="96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r>
              <w:rPr>
                <w:rFonts w:hint="eastAsia"/>
                <w:lang w:val="en-US" w:eastAsia="zh-CN"/>
              </w:rPr>
              <w:t>23单独考试</w:t>
            </w:r>
          </w:p>
        </w:tc>
        <w:tc>
          <w:tcPr>
            <w:tcW w:w="960" w:type="dxa"/>
            <w:vMerge w:val="restart"/>
            <w:tcBorders>
              <w:top w:val="nil"/>
              <w:left w:val="nil"/>
              <w:bottom w:val="single" w:color="000000" w:sz="4" w:space="0"/>
              <w:right w:val="single" w:color="000000" w:sz="4" w:space="0"/>
            </w:tcBorders>
            <w:shd w:val="clear"/>
            <w:tcMar>
              <w:top w:w="15" w:type="dxa"/>
              <w:left w:w="15" w:type="dxa"/>
              <w:right w:w="15" w:type="dxa"/>
            </w:tcMar>
            <w:vAlign w:val="center"/>
          </w:tcPr>
          <w:p>
            <w:r>
              <w:rPr>
                <w:rFonts w:hint="eastAsia"/>
                <w:lang w:val="en-US" w:eastAsia="zh-CN"/>
              </w:rPr>
              <w:t>018聋人工学院</w:t>
            </w:r>
          </w:p>
        </w:tc>
        <w:tc>
          <w:tcPr>
            <w:tcW w:w="96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r>
              <w:rPr>
                <w:rFonts w:hint="eastAsia"/>
                <w:lang w:val="en-US" w:eastAsia="zh-CN"/>
              </w:rPr>
              <w:t>085400电子信息</w:t>
            </w:r>
          </w:p>
        </w:tc>
        <w:tc>
          <w:tcPr>
            <w:tcW w:w="129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r>
              <w:rPr>
                <w:rFonts w:hint="eastAsia"/>
                <w:lang w:val="en-US" w:eastAsia="zh-CN"/>
              </w:rPr>
              <w:t>01计算机技术网络与人工智能（听障）</w:t>
            </w:r>
          </w:p>
        </w:tc>
        <w:tc>
          <w:tcPr>
            <w:tcW w:w="868" w:type="dxa"/>
            <w:vMerge w:val="restart"/>
            <w:tcBorders>
              <w:top w:val="nil"/>
              <w:left w:val="nil"/>
              <w:bottom w:val="nil"/>
              <w:right w:val="single" w:color="000000" w:sz="4" w:space="0"/>
            </w:tcBorders>
            <w:shd w:val="clear"/>
            <w:tcMar>
              <w:top w:w="15" w:type="dxa"/>
              <w:left w:w="15" w:type="dxa"/>
              <w:right w:w="15" w:type="dxa"/>
            </w:tcMar>
            <w:vAlign w:val="center"/>
          </w:tcPr>
          <w:p>
            <w:r>
              <w:rPr>
                <w:rFonts w:hint="eastAsia"/>
                <w:lang w:val="en-US" w:eastAsia="zh-CN"/>
              </w:rPr>
              <w:t>全日制</w:t>
            </w:r>
          </w:p>
          <w:p>
            <w:r>
              <w:rPr>
                <w:rFonts w:hint="eastAsia"/>
                <w:lang w:val="en-US" w:eastAsia="zh-CN"/>
              </w:rPr>
              <w:t> </w:t>
            </w:r>
          </w:p>
        </w:tc>
        <w:tc>
          <w:tcPr>
            <w:tcW w:w="3557"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r>
              <w:rPr>
                <w:rFonts w:hint="eastAsia"/>
                <w:lang w:val="en-US" w:eastAsia="zh-CN"/>
              </w:rPr>
              <w:t>①111单独考试思想政治理论</w:t>
            </w:r>
          </w:p>
          <w:p>
            <w:r>
              <w:rPr>
                <w:rFonts w:hint="eastAsia"/>
                <w:lang w:val="en-US" w:eastAsia="zh-CN"/>
              </w:rPr>
              <w:t>②244英语二（听障）</w:t>
            </w:r>
          </w:p>
          <w:p>
            <w:r>
              <w:rPr>
                <w:rFonts w:hint="eastAsia"/>
                <w:lang w:val="en-US" w:eastAsia="zh-CN"/>
              </w:rPr>
              <w:t>③610数学二（听障）</w:t>
            </w:r>
          </w:p>
          <w:p>
            <w:r>
              <w:rPr>
                <w:rFonts w:hint="eastAsia"/>
                <w:lang w:val="en-US" w:eastAsia="zh-CN"/>
              </w:rPr>
              <w:t>④824数据结构与C++程序设计（听障）</w:t>
            </w:r>
          </w:p>
        </w:tc>
      </w:tr>
      <w:tr>
        <w:tblPrEx>
          <w:shd w:val="clear"/>
          <w:tblCellMar>
            <w:top w:w="0" w:type="dxa"/>
            <w:left w:w="0" w:type="dxa"/>
            <w:bottom w:w="0" w:type="dxa"/>
            <w:right w:w="0" w:type="dxa"/>
          </w:tblCellMar>
        </w:tblPrEx>
        <w:trPr>
          <w:trHeight w:val="606" w:hRule="atLeast"/>
        </w:trPr>
        <w:tc>
          <w:tcPr>
            <w:tcW w:w="96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rPr>
            </w:pPr>
          </w:p>
        </w:tc>
        <w:tc>
          <w:tcPr>
            <w:tcW w:w="960"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rPr>
            </w:pPr>
          </w:p>
        </w:tc>
        <w:tc>
          <w:tcPr>
            <w:tcW w:w="960" w:type="dxa"/>
            <w:vMerge w:val="restart"/>
            <w:tcBorders>
              <w:top w:val="nil"/>
              <w:left w:val="nil"/>
              <w:bottom w:val="single" w:color="000000" w:sz="4" w:space="0"/>
              <w:right w:val="single" w:color="000000" w:sz="4" w:space="0"/>
            </w:tcBorders>
            <w:shd w:val="clear"/>
            <w:tcMar>
              <w:top w:w="15" w:type="dxa"/>
              <w:left w:w="15" w:type="dxa"/>
              <w:right w:w="15" w:type="dxa"/>
            </w:tcMar>
            <w:vAlign w:val="center"/>
          </w:tcPr>
          <w:p>
            <w:r>
              <w:rPr>
                <w:rFonts w:hint="eastAsia"/>
                <w:lang w:val="en-US" w:eastAsia="zh-CN"/>
              </w:rPr>
              <w:t>135100艺术</w:t>
            </w:r>
          </w:p>
        </w:tc>
        <w:tc>
          <w:tcPr>
            <w:tcW w:w="129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r>
              <w:rPr>
                <w:rFonts w:hint="eastAsia"/>
                <w:lang w:val="en-US" w:eastAsia="zh-CN"/>
              </w:rPr>
              <w:t>01产品设计（听障）</w:t>
            </w:r>
          </w:p>
        </w:tc>
        <w:tc>
          <w:tcPr>
            <w:tcW w:w="868" w:type="dxa"/>
            <w:vMerge w:val="continue"/>
            <w:tcBorders>
              <w:top w:val="nil"/>
              <w:left w:val="nil"/>
              <w:bottom w:val="nil"/>
              <w:right w:val="single" w:color="000000" w:sz="4" w:space="0"/>
            </w:tcBorders>
            <w:shd w:val="clear"/>
            <w:tcMar>
              <w:top w:w="15" w:type="dxa"/>
              <w:left w:w="15" w:type="dxa"/>
              <w:right w:w="15" w:type="dxa"/>
            </w:tcMar>
            <w:vAlign w:val="center"/>
          </w:tcPr>
          <w:p>
            <w:pPr>
              <w:rPr>
                <w:rFonts w:hint="default"/>
              </w:rPr>
            </w:pPr>
          </w:p>
        </w:tc>
        <w:tc>
          <w:tcPr>
            <w:tcW w:w="3557" w:type="dxa"/>
            <w:vMerge w:val="restart"/>
            <w:tcBorders>
              <w:top w:val="nil"/>
              <w:left w:val="nil"/>
              <w:bottom w:val="nil"/>
              <w:right w:val="single" w:color="000000" w:sz="4" w:space="0"/>
            </w:tcBorders>
            <w:shd w:val="clear"/>
            <w:tcMar>
              <w:top w:w="15" w:type="dxa"/>
              <w:left w:w="15" w:type="dxa"/>
              <w:right w:w="15" w:type="dxa"/>
            </w:tcMar>
            <w:vAlign w:val="center"/>
          </w:tcPr>
          <w:p>
            <w:r>
              <w:rPr>
                <w:rFonts w:hint="eastAsia"/>
                <w:lang w:val="en-US" w:eastAsia="zh-CN"/>
              </w:rPr>
              <w:t>①111单独考试思想政治理论</w:t>
            </w:r>
          </w:p>
          <w:p>
            <w:r>
              <w:rPr>
                <w:rFonts w:hint="eastAsia"/>
                <w:lang w:val="en-US" w:eastAsia="zh-CN"/>
              </w:rPr>
              <w:t>②244英语二（听障）</w:t>
            </w:r>
          </w:p>
          <w:p>
            <w:r>
              <w:rPr>
                <w:rFonts w:hint="eastAsia"/>
                <w:lang w:val="en-US" w:eastAsia="zh-CN"/>
              </w:rPr>
              <w:t>③619设计史及其理论（听障）</w:t>
            </w:r>
          </w:p>
          <w:p>
            <w:r>
              <w:rPr>
                <w:rFonts w:hint="eastAsia"/>
                <w:lang w:val="en-US" w:eastAsia="zh-CN"/>
              </w:rPr>
              <w:t>④825专业设计与理论分析（听障）</w:t>
            </w:r>
          </w:p>
        </w:tc>
      </w:tr>
      <w:tr>
        <w:tblPrEx>
          <w:shd w:val="clear"/>
          <w:tblCellMar>
            <w:top w:w="0" w:type="dxa"/>
            <w:left w:w="0" w:type="dxa"/>
            <w:bottom w:w="0" w:type="dxa"/>
            <w:right w:w="0" w:type="dxa"/>
          </w:tblCellMar>
        </w:tblPrEx>
        <w:trPr>
          <w:trHeight w:val="90" w:hRule="atLeast"/>
        </w:trPr>
        <w:tc>
          <w:tcPr>
            <w:tcW w:w="96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default"/>
              </w:rPr>
            </w:pPr>
          </w:p>
        </w:tc>
        <w:tc>
          <w:tcPr>
            <w:tcW w:w="960"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rPr>
            </w:pPr>
          </w:p>
        </w:tc>
        <w:tc>
          <w:tcPr>
            <w:tcW w:w="960"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rPr>
                <w:rFonts w:hint="default"/>
              </w:rPr>
            </w:pPr>
          </w:p>
        </w:tc>
        <w:tc>
          <w:tcPr>
            <w:tcW w:w="1294"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r>
              <w:rPr>
                <w:rFonts w:hint="eastAsia"/>
                <w:lang w:val="en-US" w:eastAsia="zh-CN"/>
              </w:rPr>
              <w:t>02环境设计（听障）</w:t>
            </w:r>
          </w:p>
        </w:tc>
        <w:tc>
          <w:tcPr>
            <w:tcW w:w="868" w:type="dxa"/>
            <w:vMerge w:val="continue"/>
            <w:tcBorders>
              <w:top w:val="nil"/>
              <w:left w:val="nil"/>
              <w:bottom w:val="nil"/>
              <w:right w:val="single" w:color="000000" w:sz="4" w:space="0"/>
            </w:tcBorders>
            <w:shd w:val="clear"/>
            <w:tcMar>
              <w:top w:w="15" w:type="dxa"/>
              <w:left w:w="15" w:type="dxa"/>
              <w:right w:w="15" w:type="dxa"/>
            </w:tcMar>
            <w:vAlign w:val="center"/>
          </w:tcPr>
          <w:p>
            <w:pPr>
              <w:rPr>
                <w:rFonts w:hint="default"/>
              </w:rPr>
            </w:pPr>
          </w:p>
        </w:tc>
        <w:tc>
          <w:tcPr>
            <w:tcW w:w="3557" w:type="dxa"/>
            <w:vMerge w:val="continue"/>
            <w:tcBorders>
              <w:top w:val="nil"/>
              <w:left w:val="nil"/>
              <w:bottom w:val="nil"/>
              <w:right w:val="single" w:color="000000" w:sz="4" w:space="0"/>
            </w:tcBorders>
            <w:shd w:val="clear"/>
            <w:tcMar>
              <w:top w:w="15" w:type="dxa"/>
              <w:left w:w="15" w:type="dxa"/>
              <w:right w:w="15" w:type="dxa"/>
            </w:tcMar>
            <w:vAlign w:val="center"/>
          </w:tcPr>
          <w:p>
            <w:pPr>
              <w:rPr>
                <w:rFonts w:hint="default"/>
              </w:rPr>
            </w:pPr>
          </w:p>
        </w:tc>
      </w:tr>
    </w:tbl>
    <w:p>
      <w:r>
        <w:rPr>
          <w:rFonts w:hint="default"/>
          <w:lang w:val="en-US" w:eastAsia="zh-CN"/>
        </w:rPr>
        <w:t xml:space="preserve">   </w:t>
      </w:r>
    </w:p>
    <w:p>
      <w:r>
        <w:rPr>
          <w:rFonts w:hint="eastAsia"/>
          <w:lang w:val="en-US" w:eastAsia="zh-CN"/>
        </w:rPr>
        <w:t xml:space="preserve">二、报考条件 </w:t>
      </w:r>
    </w:p>
    <w:p>
      <w:r>
        <w:rPr>
          <w:rFonts w:hint="default"/>
          <w:lang w:val="en-US" w:eastAsia="zh-CN"/>
        </w:rPr>
        <w:t>1.中华人民共和国公民。</w:t>
      </w:r>
    </w:p>
    <w:p>
      <w:r>
        <w:rPr>
          <w:rFonts w:hint="default"/>
          <w:lang w:val="en-US" w:eastAsia="zh-CN"/>
        </w:rPr>
        <w:t>2.拥护中国共产党的领导，品德良好，遵纪守法。</w:t>
      </w:r>
    </w:p>
    <w:p>
      <w:r>
        <w:rPr>
          <w:rFonts w:hint="default"/>
          <w:lang w:val="en-US" w:eastAsia="zh-CN"/>
        </w:rPr>
        <w:t>3.</w:t>
      </w:r>
      <w:r>
        <w:rPr>
          <w:rFonts w:hint="default"/>
          <w:lang w:val="en-US" w:eastAsia="zh-CN"/>
        </w:rPr>
        <w:t>身体健康状况符合国家和招生单位规定的体检要求且持有中国残疾人联合会颁发的残疾人证（听力障碍）（以下简称“残疾人证”）者。</w:t>
      </w:r>
    </w:p>
    <w:p>
      <w:r>
        <w:rPr>
          <w:rFonts w:hint="default"/>
          <w:lang w:val="en-US" w:eastAsia="zh-CN"/>
        </w:rPr>
        <w:t>4.报考艺术学类专业的考生须无色盲、色弱。</w:t>
      </w:r>
    </w:p>
    <w:p>
      <w:r>
        <w:rPr>
          <w:rFonts w:hint="default"/>
          <w:lang w:val="en-US" w:eastAsia="zh-CN"/>
        </w:rPr>
        <w:t>5.</w:t>
      </w:r>
      <w:r>
        <w:rPr>
          <w:rFonts w:hint="default"/>
          <w:lang w:val="en-US" w:eastAsia="zh-CN"/>
        </w:rPr>
        <w:t>考生学业水平必须符合下列条件之一：</w:t>
      </w:r>
    </w:p>
    <w:p>
      <w:r>
        <w:rPr>
          <w:rFonts w:hint="default"/>
          <w:lang w:val="en-US" w:eastAsia="zh-CN"/>
        </w:rPr>
        <w:t>（1）国家承认学历的应届本科毕业生（含普通高校、成人高校、普通高校举办的成人高等学历教育应届本科毕业生）及自学考试和网络教育届时可毕业本科生。考生录取当年入学报到时必须取得国家承认的本科毕业证书，否则录取资格无效。</w:t>
      </w:r>
    </w:p>
    <w:p>
      <w:r>
        <w:rPr>
          <w:rFonts w:hint="default"/>
          <w:lang w:val="en-US" w:eastAsia="zh-CN"/>
        </w:rPr>
        <w:t>（2）具有国家承认的大学本科毕业学历的人员。</w:t>
      </w:r>
    </w:p>
    <w:p>
      <w:r>
        <w:rPr>
          <w:rFonts w:hint="default"/>
          <w:lang w:val="en-US" w:eastAsia="zh-CN"/>
        </w:rPr>
        <w:t>（3）已获硕士、博士学位的人员。</w:t>
      </w:r>
    </w:p>
    <w:p>
      <w:r>
        <w:rPr>
          <w:rFonts w:hint="default"/>
          <w:lang w:val="en-US" w:eastAsia="zh-CN"/>
        </w:rPr>
        <w:t>在校研究生报考须在报名前征得所在培养单位同意。</w:t>
      </w:r>
    </w:p>
    <w:p>
      <w:r>
        <w:rPr>
          <w:rFonts w:hint="eastAsia"/>
          <w:lang w:val="en-US" w:eastAsia="zh-CN"/>
        </w:rPr>
        <w:t>三、报名流程</w:t>
      </w:r>
    </w:p>
    <w:p>
      <w:r>
        <w:rPr>
          <w:rFonts w:hint="default"/>
          <w:lang w:val="en-US" w:eastAsia="zh-CN"/>
        </w:rPr>
        <w:t>1.网上报名</w:t>
      </w:r>
    </w:p>
    <w:p>
      <w:r>
        <w:rPr>
          <w:rFonts w:hint="default"/>
          <w:lang w:val="en-US" w:eastAsia="zh-CN"/>
        </w:rPr>
        <w:t>考生应在规定时间登录“中国研究生招生信息网</w:t>
      </w:r>
      <w:r>
        <w:rPr>
          <w:rFonts w:hint="eastAsia"/>
          <w:lang w:val="en-US" w:eastAsia="zh-CN"/>
        </w:rPr>
        <w:t>”</w:t>
      </w:r>
      <w:r>
        <w:rPr>
          <w:rFonts w:hint="default"/>
          <w:lang w:val="en-US" w:eastAsia="zh-CN"/>
        </w:rPr>
        <w:t>（公网网址：http：//yz.chsi.com.cn，教育网址：</w:t>
      </w:r>
      <w:r>
        <w:rPr>
          <w:rFonts w:hint="default"/>
          <w:lang w:val="en-US" w:eastAsia="zh-CN"/>
        </w:rPr>
        <w:fldChar w:fldCharType="begin"/>
      </w:r>
      <w:r>
        <w:rPr>
          <w:rFonts w:hint="default"/>
          <w:lang w:val="en-US" w:eastAsia="zh-CN"/>
        </w:rPr>
        <w:instrText xml:space="preserve"> HYPERLINK "http://yz.chsi.cn，以下简称\\“研招网\\”）浏览报考须知，并按教育部、省级教育考试招生机构、报考点以及报考招生单位的网上公告要求报名" </w:instrText>
      </w:r>
      <w:r>
        <w:rPr>
          <w:rFonts w:hint="default"/>
          <w:lang w:val="en-US" w:eastAsia="zh-CN"/>
        </w:rPr>
        <w:fldChar w:fldCharType="separate"/>
      </w:r>
      <w:r>
        <w:rPr>
          <w:rFonts w:hint="default"/>
        </w:rPr>
        <w:t>http://yz.chsi.cn，以下简称</w:t>
      </w:r>
      <w:r>
        <w:rPr>
          <w:rFonts w:hint="eastAsia"/>
        </w:rPr>
        <w:t>“</w:t>
      </w:r>
      <w:r>
        <w:rPr>
          <w:rFonts w:hint="default"/>
        </w:rPr>
        <w:t>研招网</w:t>
      </w:r>
      <w:r>
        <w:rPr>
          <w:rFonts w:hint="eastAsia"/>
        </w:rPr>
        <w:t>”</w:t>
      </w:r>
      <w:r>
        <w:rPr>
          <w:rFonts w:hint="default"/>
        </w:rPr>
        <w:t>）浏览报考须知，并按教育部、省级教育考试招生机构、报考点以及报考招生单位的网上公告要求报名</w:t>
      </w:r>
      <w:r>
        <w:rPr>
          <w:rFonts w:hint="default"/>
          <w:lang w:val="en-US" w:eastAsia="zh-CN"/>
        </w:rPr>
        <w:fldChar w:fldCharType="end"/>
      </w:r>
      <w:r>
        <w:rPr>
          <w:rFonts w:hint="default"/>
          <w:lang w:val="en-US" w:eastAsia="zh-CN"/>
        </w:rPr>
        <w:t>。</w:t>
      </w:r>
    </w:p>
    <w:p>
      <w:r>
        <w:rPr>
          <w:rFonts w:hint="default"/>
        </w:rPr>
        <w:t>报名时间：</w:t>
      </w:r>
      <w:r>
        <w:rPr>
          <w:rFonts w:hint="default"/>
        </w:rPr>
        <w:t>2019年10月10日至10月31日，每天9:00</w:t>
      </w:r>
      <w:r>
        <w:rPr>
          <w:rFonts w:hint="eastAsia"/>
        </w:rPr>
        <w:t>—</w:t>
      </w:r>
      <w:r>
        <w:rPr>
          <w:rFonts w:hint="default"/>
        </w:rPr>
        <w:t>22:00</w:t>
      </w:r>
    </w:p>
    <w:p>
      <w:r>
        <w:rPr>
          <w:rFonts w:hint="default"/>
        </w:rPr>
        <w:t>2.</w:t>
      </w:r>
      <w:r>
        <w:rPr>
          <w:rFonts w:hint="default"/>
        </w:rPr>
        <w:t>考生按规定在研招网网上支付报名费。</w:t>
      </w:r>
    </w:p>
    <w:p>
      <w:r>
        <w:rPr>
          <w:rFonts w:hint="default"/>
        </w:rPr>
        <w:t>3.</w:t>
      </w:r>
      <w:r>
        <w:rPr>
          <w:rFonts w:hint="default"/>
        </w:rPr>
        <w:t>网上报名填写报考信息时注意事项</w:t>
      </w:r>
    </w:p>
    <w:p>
      <w:r>
        <w:rPr>
          <w:rFonts w:hint="default"/>
        </w:rPr>
        <w:t>（</w:t>
      </w:r>
      <w:r>
        <w:rPr>
          <w:rFonts w:hint="default"/>
        </w:rPr>
        <w:t>1</w:t>
      </w:r>
      <w:r>
        <w:rPr>
          <w:rFonts w:hint="default"/>
        </w:rPr>
        <w:t>）报考我校单考单招的听障学生务必选择天津理工大学报考点</w:t>
      </w:r>
      <w:r>
        <w:rPr>
          <w:rFonts w:hint="default"/>
        </w:rPr>
        <w:t>(报考点代码:1240)办理网上报名。</w:t>
      </w:r>
    </w:p>
    <w:p>
      <w:r>
        <w:rPr>
          <w:rFonts w:hint="default"/>
        </w:rPr>
        <w:t>（</w:t>
      </w:r>
      <w:r>
        <w:rPr>
          <w:rFonts w:hint="default"/>
        </w:rPr>
        <w:t>2</w:t>
      </w:r>
      <w:r>
        <w:rPr>
          <w:rFonts w:hint="default"/>
        </w:rPr>
        <w:t>）考生报名时只填写学科、专业及研究方向，录取进校后通过双向选择确定指导教师。</w:t>
      </w:r>
    </w:p>
    <w:p>
      <w:r>
        <w:rPr>
          <w:rFonts w:hint="default"/>
        </w:rPr>
        <w:t>（</w:t>
      </w:r>
      <w:r>
        <w:rPr>
          <w:rFonts w:hint="default"/>
        </w:rPr>
        <w:t>3</w:t>
      </w:r>
      <w:r>
        <w:rPr>
          <w:rFonts w:hint="default"/>
        </w:rPr>
        <w:t>）报名期间将对考生学历</w:t>
      </w:r>
      <w:r>
        <w:rPr>
          <w:rFonts w:hint="default"/>
        </w:rPr>
        <w:t>(学籍)信息进行网上校验。考生可上网查看学历(学籍)校验结果。考生也可在报名前或报名期间自行登录</w:t>
      </w:r>
      <w:r>
        <w:rPr>
          <w:rFonts w:hint="eastAsia"/>
        </w:rPr>
        <w:t>“</w:t>
      </w:r>
      <w:r>
        <w:rPr>
          <w:rFonts w:hint="default"/>
        </w:rPr>
        <w:t>中国高等教育学生信息网</w:t>
      </w:r>
      <w:r>
        <w:rPr>
          <w:rFonts w:hint="eastAsia"/>
        </w:rPr>
        <w:t>”</w:t>
      </w:r>
      <w:r>
        <w:rPr>
          <w:rFonts w:hint="default"/>
        </w:rPr>
        <w:t>(</w:t>
      </w:r>
      <w:r>
        <w:rPr>
          <w:rFonts w:hint="default"/>
        </w:rPr>
        <w:t>http://www.chsi.com.cn</w:t>
      </w:r>
      <w:r>
        <w:rPr>
          <w:rFonts w:hint="default"/>
        </w:rPr>
        <w:t>)查询本人学历(学籍)信息。未通过学历(学籍)校验的考生应及时到学籍学历权威认证机构进行认证。</w:t>
      </w:r>
    </w:p>
    <w:p>
      <w:r>
        <w:rPr>
          <w:rFonts w:hint="default"/>
          <w:lang w:val="en-US" w:eastAsia="zh-CN"/>
        </w:rPr>
        <w:t>4.现场确认</w:t>
      </w:r>
    </w:p>
    <w:p>
      <w:r>
        <w:rPr>
          <w:rFonts w:hint="default"/>
        </w:rPr>
        <w:t>（1）</w:t>
      </w:r>
      <w:r>
        <w:rPr>
          <w:rFonts w:hint="default"/>
        </w:rPr>
        <w:t>考生现场确认应提交本人有效居民身份证、</w:t>
      </w:r>
      <w:r>
        <w:rPr>
          <w:rFonts w:hint="default"/>
        </w:rPr>
        <w:t>残疾人证</w:t>
      </w:r>
      <w:r>
        <w:rPr>
          <w:rFonts w:hint="default"/>
        </w:rPr>
        <w:t>、</w:t>
      </w:r>
      <w:r>
        <w:rPr>
          <w:rFonts w:hint="default"/>
        </w:rPr>
        <w:t>学历学位证书</w:t>
      </w:r>
      <w:r>
        <w:rPr>
          <w:rFonts w:hint="default"/>
        </w:rPr>
        <w:t>(应届本科毕业生持学生证)和网上报名编号，由报考点工作人员进行核对。</w:t>
      </w:r>
    </w:p>
    <w:p>
      <w:r>
        <w:rPr>
          <w:rFonts w:hint="default"/>
        </w:rPr>
        <w:t>（2）</w:t>
      </w:r>
      <w:r>
        <w:rPr>
          <w:rFonts w:hint="default"/>
        </w:rPr>
        <w:t>在录取当年入学报到时可取得国家承认本科毕业证书的自学考试和网络教育本科生，现场确认时自考生携带自考的准考证；网络教育考生携带学生证可办理网上报名现场确认手续。</w:t>
      </w:r>
    </w:p>
    <w:p>
      <w:r>
        <w:rPr>
          <w:rFonts w:hint="default"/>
        </w:rPr>
        <w:t>（3）</w:t>
      </w:r>
      <w:r>
        <w:rPr>
          <w:rFonts w:hint="default"/>
        </w:rPr>
        <w:t>所有考生均应对本人网上报名信息进行认真核对并确认。报名信息经考生确认后一律不作修改，因考生填写错误引起的一切后果由其自行承担。</w:t>
      </w:r>
    </w:p>
    <w:p>
      <w:r>
        <w:rPr>
          <w:rFonts w:hint="default"/>
        </w:rPr>
        <w:t>（4）</w:t>
      </w:r>
      <w:r>
        <w:rPr>
          <w:rFonts w:hint="default"/>
        </w:rPr>
        <w:t>考生应按报考点规定配合采集本人图像等相关电子信息。</w:t>
      </w:r>
    </w:p>
    <w:p>
      <w:r>
        <w:rPr>
          <w:rFonts w:hint="default"/>
        </w:rPr>
        <w:t>（5）</w:t>
      </w:r>
      <w:r>
        <w:rPr>
          <w:rFonts w:hint="default"/>
        </w:rPr>
        <w:t>我校对考生报考信息和现场确认材料进行全面审查，确定考生的考试资格。考生填报的报名信息与报考条件不符的，不得准予考试。</w:t>
      </w:r>
    </w:p>
    <w:p>
      <w:r>
        <w:rPr>
          <w:rFonts w:hint="default"/>
        </w:rPr>
        <w:t>其他</w:t>
      </w:r>
    </w:p>
    <w:p>
      <w:r>
        <w:rPr>
          <w:rFonts w:hint="default"/>
        </w:rPr>
        <w:t>1.我校2020年以单考单招方式招收全日制攻读硕士学位的听障学生不接收同等学力考生报考。</w:t>
      </w:r>
    </w:p>
    <w:p>
      <w:r>
        <w:rPr>
          <w:rFonts w:hint="default"/>
        </w:rPr>
        <w:t>2.如此通知与上级部门有关规定冲突，以上级部门规定为准。</w:t>
      </w:r>
    </w:p>
    <w:p>
      <w:r>
        <w:rPr>
          <w:rFonts w:hint="default"/>
        </w:rPr>
        <w:t>3.其他招生信息请随时关注我校研究生院网站通知。</w:t>
      </w:r>
    </w:p>
    <w:p>
      <w:r>
        <w:rPr>
          <w:rFonts w:hint="default"/>
        </w:rPr>
        <w:t>4</w:t>
      </w:r>
      <w:r>
        <w:rPr>
          <w:rFonts w:hint="default"/>
        </w:rPr>
        <w:t>.联系方式：</w:t>
      </w:r>
    </w:p>
    <w:p>
      <w:r>
        <w:rPr>
          <w:rFonts w:hint="default"/>
          <w:lang w:val="en-US" w:eastAsia="zh-CN"/>
        </w:rPr>
        <w:t xml:space="preserve">               研究生院：  联系人  郭老师  022-60215566</w:t>
      </w:r>
    </w:p>
    <w:p>
      <w:r>
        <w:rPr>
          <w:rFonts w:hint="default"/>
          <w:lang w:val="en-US" w:eastAsia="zh-CN"/>
        </w:rPr>
        <w:t xml:space="preserve">               聋人工学院：联系人  闵老师  022-60214289    </w:t>
      </w:r>
    </w:p>
    <w:p>
      <w:r>
        <w:rPr>
          <w:rFonts w:hint="default"/>
          <w:lang w:val="en-US" w:eastAsia="zh-CN"/>
        </w:rPr>
        <w:t xml:space="preserve">                                       咨询邮箱：</w:t>
      </w:r>
      <w:r>
        <w:rPr>
          <w:rFonts w:hint="default"/>
          <w:lang w:val="en-US" w:eastAsia="zh-CN"/>
        </w:rPr>
        <w:fldChar w:fldCharType="begin"/>
      </w:r>
      <w:r>
        <w:rPr>
          <w:rFonts w:hint="default"/>
          <w:lang w:val="en-US" w:eastAsia="zh-CN"/>
        </w:rPr>
        <w:instrText xml:space="preserve"> HYPERLINK "mailto:lrmz@tjut.edu.cn" </w:instrText>
      </w:r>
      <w:r>
        <w:rPr>
          <w:rFonts w:hint="default"/>
          <w:lang w:val="en-US" w:eastAsia="zh-CN"/>
        </w:rPr>
        <w:fldChar w:fldCharType="separate"/>
      </w:r>
      <w:r>
        <w:rPr>
          <w:rFonts w:hint="default"/>
        </w:rPr>
        <w:t>lrmz@tjut.edu.cn</w:t>
      </w:r>
      <w:r>
        <w:rPr>
          <w:rFonts w:hint="default"/>
          <w:lang w:val="en-US" w:eastAsia="zh-CN"/>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EB1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15"/>
    <w:basedOn w:val="4"/>
    <w:uiPriority w:val="0"/>
    <w:rPr>
      <w:rFonts w:hint="default" w:ascii="Calibri" w:hAnsi="Calibri" w:cs="Calibri"/>
      <w:kern w:val="2"/>
      <w:sz w:val="18"/>
      <w:szCs w:val="18"/>
    </w:rPr>
  </w:style>
  <w:style w:type="character" w:customStyle="1" w:styleId="9">
    <w:name w:val="25"/>
    <w:basedOn w:val="4"/>
    <w:uiPriority w:val="0"/>
    <w:rPr>
      <w:rFonts w:hint="default" w:ascii="Times New Roman" w:hAnsi="Times New Roman" w:cs="Times New Roman"/>
      <w:color w:val="800080"/>
      <w:u w:val="single"/>
    </w:rPr>
  </w:style>
  <w:style w:type="character" w:customStyle="1" w:styleId="10">
    <w:name w:val="26"/>
    <w:basedOn w:val="4"/>
    <w:uiPriority w:val="0"/>
    <w:rPr>
      <w:rFonts w:hint="eastAsia" w:ascii="宋体" w:hAnsi="Courier New" w:eastAsia="宋体" w:cs="Courier New"/>
    </w:rPr>
  </w:style>
  <w:style w:type="character" w:customStyle="1" w:styleId="11">
    <w:name w:val="17"/>
    <w:basedOn w:val="4"/>
    <w:uiPriority w:val="0"/>
    <w:rPr>
      <w:rFonts w:hint="default" w:ascii="Times New Roman" w:hAnsi="Times New Roman" w:cs="Times New Roman"/>
      <w:b/>
    </w:rPr>
  </w:style>
  <w:style w:type="character" w:customStyle="1" w:styleId="12">
    <w:name w:val="10"/>
    <w:basedOn w:val="4"/>
    <w:uiPriority w:val="0"/>
    <w:rPr>
      <w:rFonts w:hint="default" w:ascii="Times New Roman" w:hAnsi="Times New Roman" w:cs="Times New Roman"/>
    </w:rPr>
  </w:style>
  <w:style w:type="character" w:customStyle="1" w:styleId="13">
    <w:name w:val="16"/>
    <w:basedOn w:val="4"/>
    <w:uiPriority w:val="0"/>
    <w:rPr>
      <w:rFonts w:hint="default" w:ascii="Times New Roman" w:hAnsi="Times New Roman" w:cs="Times New Roman"/>
      <w:color w:val="333333"/>
    </w:rPr>
  </w:style>
  <w:style w:type="character" w:customStyle="1" w:styleId="14">
    <w:name w:val="18"/>
    <w:basedOn w:val="4"/>
    <w:uiPriority w:val="0"/>
    <w:rPr>
      <w:rFonts w:hint="default" w:ascii="Times New Roman" w:hAnsi="Times New Roman" w:cs="Times New Roman"/>
      <w:color w:val="333333"/>
    </w:rPr>
  </w:style>
  <w:style w:type="character" w:customStyle="1" w:styleId="15">
    <w:name w:val="19"/>
    <w:basedOn w:val="4"/>
    <w:uiPriority w:val="0"/>
    <w:rPr>
      <w:rFonts w:hint="default" w:ascii="Times New Roman" w:hAnsi="Times New Roman" w:cs="Times New Roman"/>
      <w:b/>
    </w:rPr>
  </w:style>
  <w:style w:type="character" w:customStyle="1" w:styleId="16">
    <w:name w:val="20"/>
    <w:basedOn w:val="4"/>
    <w:uiPriority w:val="0"/>
    <w:rPr>
      <w:rFonts w:hint="default" w:ascii="Times New Roman" w:hAnsi="Times New Roman" w:cs="Times New Roman"/>
    </w:rPr>
  </w:style>
  <w:style w:type="character" w:customStyle="1" w:styleId="17">
    <w:name w:val="21"/>
    <w:basedOn w:val="4"/>
    <w:uiPriority w:val="0"/>
    <w:rPr>
      <w:rFonts w:hint="default" w:ascii="Calibri" w:hAnsi="Calibri" w:eastAsia="宋体" w:cs="Times New Roman"/>
      <w:sz w:val="18"/>
      <w:szCs w:val="18"/>
    </w:rPr>
  </w:style>
  <w:style w:type="character" w:customStyle="1" w:styleId="18">
    <w:name w:val="22"/>
    <w:basedOn w:val="4"/>
    <w:uiPriority w:val="0"/>
    <w:rPr>
      <w:rFonts w:hint="default" w:ascii="Times New Roman" w:hAnsi="Times New Roman" w:cs="Times New Roman"/>
      <w:color w:val="0000FF"/>
      <w:u w:val="single"/>
    </w:rPr>
  </w:style>
  <w:style w:type="character" w:customStyle="1" w:styleId="19">
    <w:name w:val="23"/>
    <w:basedOn w:val="4"/>
    <w:uiPriority w:val="0"/>
    <w:rPr>
      <w:rFonts w:hint="eastAsia" w:ascii="宋体" w:hAnsi="Courier New" w:eastAsia="宋体" w:cs="Courier New"/>
    </w:rPr>
  </w:style>
  <w:style w:type="character" w:customStyle="1" w:styleId="20">
    <w:name w:val="24"/>
    <w:basedOn w:val="4"/>
    <w:uiPriority w:val="0"/>
    <w:rPr>
      <w:rFonts w:hint="default" w:ascii="Times New Roman" w:hAnsi="Times New Roman" w:cs="Times New Roman"/>
      <w:sz w:val="18"/>
      <w:szCs w:val="18"/>
    </w:rPr>
  </w:style>
  <w:style w:type="character" w:customStyle="1" w:styleId="21">
    <w:name w:val="27"/>
    <w:basedOn w:val="4"/>
    <w:uiPriority w:val="0"/>
    <w:rPr>
      <w:rFonts w:hint="default"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2020-03-01T10:14:32Z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