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i w:val="0"/>
          <w:caps w:val="0"/>
          <w:color w:val="333333"/>
          <w:spacing w:val="0"/>
          <w:sz w:val="32"/>
          <w:szCs w:val="32"/>
          <w:bdr w:val="none" w:color="auto" w:sz="0" w:space="0"/>
        </w:rPr>
      </w:pPr>
      <w:r>
        <w:rPr>
          <w:rFonts w:hint="default" w:ascii="Times New Roman" w:hAnsi="Times New Roman" w:cs="Times New Roman" w:eastAsiaTheme="minorEastAsia"/>
          <w:b/>
          <w:bCs/>
          <w:i w:val="0"/>
          <w:caps w:val="0"/>
          <w:color w:val="333333"/>
          <w:spacing w:val="0"/>
          <w:sz w:val="32"/>
          <w:szCs w:val="32"/>
          <w:bdr w:val="none" w:color="auto" w:sz="0" w:space="0"/>
        </w:rPr>
        <w:t>西安工业大学 2019年硕士研究生招生简章</w:t>
      </w:r>
    </w:p>
    <w:p>
      <w:pPr>
        <w:jc w:val="center"/>
        <w:rPr>
          <w:rFonts w:hint="default" w:ascii="Times New Roman" w:hAnsi="Times New Roman" w:cs="Times New Roman" w:eastAsiaTheme="minorEastAsia"/>
          <w:b/>
          <w:bCs/>
          <w:i w:val="0"/>
          <w:caps w:val="0"/>
          <w:color w:val="333333"/>
          <w:spacing w:val="0"/>
          <w:sz w:val="32"/>
          <w:szCs w:val="32"/>
          <w:bdr w:val="none" w:color="auto" w:sz="0" w:space="0"/>
        </w:rPr>
      </w:pPr>
      <w:bookmarkStart w:id="0" w:name="_GoBack"/>
      <w:bookmarkEnd w:id="0"/>
      <w:r>
        <w:rPr>
          <w:rFonts w:hint="default" w:ascii="Times New Roman" w:hAnsi="Times New Roman" w:cs="Times New Roman" w:eastAsiaTheme="minorEastAsia"/>
          <w:b w:val="0"/>
          <w:bCs w:val="0"/>
          <w:i w:val="0"/>
          <w:caps w:val="0"/>
          <w:color w:val="333333"/>
          <w:spacing w:val="0"/>
          <w:sz w:val="28"/>
          <w:szCs w:val="28"/>
          <w:bdr w:val="none" w:color="auto" w:sz="0" w:space="0"/>
        </w:rPr>
        <w:t>2018-09-12</w:t>
      </w:r>
      <w:r>
        <w:rPr>
          <w:rFonts w:hint="default" w:ascii="Times New Roman" w:hAnsi="Times New Roman" w:cs="Times New Roman" w:eastAsiaTheme="minorEastAsia"/>
          <w:b/>
          <w:bCs/>
          <w:i w:val="0"/>
          <w:caps w:val="0"/>
          <w:color w:val="333333"/>
          <w:spacing w:val="0"/>
          <w:sz w:val="32"/>
          <w:szCs w:val="32"/>
          <w:bdr w:val="none" w:color="auto" w:sz="0" w:space="0"/>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一、 学校简介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学校创建于1955年，是国家“一五”计划156个重点建设项目的军工配套项目，具有鲜明的军工特色，是兵器行业部署在西北地区唯一的本科院校。1999年实行中央与地方共建，以陕西省管理为主。60多年来，学校践行“敦德励学，知行相长”的校训，弘扬“忠诚进取，精工博艺”的校风，注重学生军工品格的锤炼，强化工程实践能力的培养，为区域经济和国防工业输送了11万余名高级专门人才。</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学校占地面积1200亩，校舍建筑面积80万平方米。现有教职员工1800余人，全日制在校博士、硕士研究生2000余人，本科生约1.8万余人。学校专任教师中具有高级职称教师485人；有全国优秀教师、全国师德先进个人2人；有“千人计划”专家4人，陕西省百人计划特聘教授7人，“三秦学者”特聘教授1人，“西工学者”讲座教授79人；有省级教学名师14人；有享受国务院政府特殊津贴专家15人、三秦人才津贴专家13人；有入选省“三五人才工程”人选4人、省重点领域顶尖人才1人及省“四个一批”人才1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学校现有14个教学单位，有“光学工程”、“材料科学与工程”和“机械工程”3个博士学位授权一级学科，3个博士后科研流动站。有15个硕士学位授权一级学科，6个专业硕士授权类别，20个专业学位授权领域；学校有54个本科专业。学科专业涵盖工学、理学、管理学、经济学、法学、文学、教育学、艺术学等8个学科门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目前，学校有5个学科获批国家国防特色学科，7个学科列入省级优势学科和特色学科建设项目，6个专业列入“卓越工程师教育培训计划”，12个专业列入省级“一流专业”建设计划；学校有国家级教学团队1个，国家级专业综合改革试点项目2个，国家级双语教学示范课程1门，国家级实验示范中心1个，国家级工程实践教育中心1个，国家级大学生校外实践基地建设项目1个，省级特色专业9个，省级专业综合改革试点项目8个，省级精品课程21门，省级精品资源共享课54门，省级教学团队25个，省级教学名师14人，省级实验教学示范中心16个，省级人才培养模式创新实验区16个，省级大学生校外实践教育基地4个。学校2009年和2014年两次获得国家级教学成果二等奖。近10年，学校获省级教学成果奖22项（其中特等奖2项、一等奖9项）。学校连续7年获陕西省校园文化优秀成果一等奖。2014年获陕西省宣传思想文化创新奖，为陕西唯一获奖高校。2012年成为“陕西省大学生创新能力综合改革试点院校”，2016年成为“陕西省高校实践育人创新创业基地”、“陕西省高等学校创新创业教育改革试点学院”；2017年成为“陕西省首批深化创新创业教育改革示范高校”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长期以来学校注重平台和团队建设以提高科技创新能力。学校现拥有国家地方联合工程研究中心1个，国家地方联合工程实验室1个，国际科技合作基地1个，教育部重点实验1个，其他省部级研究基地16个，拥有陕西省重点科技创新团队2个，在光学先进制造、特种加工、高性能轻质合金新材料、兵器测试与控制技术等学科具有承担重大科研项目的能力。学校目前承担着科技部、教育部、国家自然科学基金委员会、国家社科规划办公室、军委科技委、装备发展部、军兵种装备部、国家国防科工局及省市各部门、企事业单位委托的各类项目千余项。一批拥有自主知识产权的关键技术成果在国家国防建设中发挥了重要作用。近三年，获国家科技进步二等奖1项，省部级科技成果奖30余项，学校大力加强产学研结合，2017年获批中国产学研合作创新奖，并列入西安全面创新改革高校试点单位。</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十二五”期间，学校各项事业取得了较快发展，2012年，陕西省人民政府与中国兵器工业集团公司共建西安工业大学；学校取得了武器装备科研生产二级保密资质；2013年，国务院学位委员会批准我校为博士学位授予单位:光学工程、机械工程、材料科学与工程为博士学位授予学科；2014年，学校获批“光学工程、机械工程、材料科学与工程”3个博士后科研流动站；2015年，学校作为第一完成单位荣获国家科技进步二等奖；获国军标质量管理体系认证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2016年，陕西省人民政府与国家国防科技工业局共建西安工业大学；成立西北兵器工业研究院。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2017年，我校获批成为推荐优秀应届本科毕业生免试攻读研究生资格单位。</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欢迎广大考生报考我校。</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二、 招生类型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2019年我校招收全日制与非全日制两类硕士研究生。</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（一） 全日制硕士研究生领域：学术型硕士、工程硕士、新闻与传播硕士、艺术硕士、会计硕士、体育硕士；</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（二） 非全日制硕士研究生领域：工程硕士、工商管理硕士、新闻与传播硕士、艺术硕士、会计硕士、体育硕士。</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以上全日制与非全日制计划招生800名左右（实际招生人数以上级主管部门批准的招生计划为准）。西安工业大学热忱欢迎有志于祖国现代化建设，在科学技术以及管理领域锐意进取的考生踊跃报考。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三、 报考条件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（一）报考我校全日制硕士研究生和非全日制硕士研究生中的工程硕士、新闻与传播硕士、艺术硕士、会计硕士、体育硕士全国统一考试的考生，须符合下列条件：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1、中华人民共和国公民。</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2、拥护中国共产党的领导，品德良好，遵纪守法。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3、身体健康状况符合国家和我校规定的体检要求。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4、考生学业水平必须符合下列条件之一：</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国家承认学历的应届本科毕业生（含普通高校、成人高校、普通高校举办的成人高等学历教育应届本科毕业生）及自学考试和网络教育届时可毕业本科生，考生录取当年9月1日前必须取得国家承认的本科毕业证书，否则录取资格无效。</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（2）具有国家承认的大学本科毕业学历的人员。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3）获得国家承认的高职高专毕业学历后满2年（从毕业后到录取当年9月1日，下同）或2年以上的人员，以及国家承认学历的本科结业生，符合招生单位根据本单位的培养目标对考生提出的具体学业要求的，按本科毕业同等学力身份报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（4）已获硕士、博士学位的人员。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在校研究生报考须在报名前征得所在培养单位同意。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（二）报考非全日制硕士研究生中工商管理（MBA）全国统一考试的考生须符合下列条件：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符合报考条件（一）中第1、2、3各项的要求，且具有下列条件：大学本科毕业后有3年以上工作经验的人员；或获得国家承认的高职高专毕业学历或大学本科结业后，符合我校相关学业要求，达到大学本科毕业同等学力并有5年以上工作经验的人员，或已获硕士学位或博士学位后有2年以上工作经验的人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三）具有推荐免试资格的考生，须在国家规定时间内登陆“全国推荐优秀应届本科毕业生免试攻读研究生信息公开暨管理服务系统”（网址：http://yz.chsi.com.cn/tm）填报志愿并参加复试。截止规定日期仍未落实接收单位的推免生不再保留推免资格。已被招生单位接收的推免生，不得再报名参加当年硕士研究生考试招生，否则取消其推免录取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四、 报名流程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硕士研究生报名包括网上报名和现场确认两个阶段。</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我校为社会考点，接收本校或陕西省不设考点的高校应届生（需提供学生证、居民身份证）及社会考生（需提供居民身份证，毕业证，及其它材料以确认前公布的公告为准）。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报考我校的工商管理硕士（MBA）考生，应选择工作或户口所在地省级教育招生考试管理机构指定的报考点办理网上报名和现场确认手续。</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（一）网上报名阶段：报考2019年硕士研究生一律采取网上报名方式。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1、网上报名时间：2018年10月10日至10月31日，每天9:00-22:00.网上预报名时间为2018年9月24日至9月27日，每天9:00-22:00（逾期不再补报，也不得再修改报名信息）。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考生在规定时间内登录“中国研究生招生信息网”（公网网址http://yz.chsi.com.cn；教育网址http://yz.chsi.cn，以下简称“研招网”）浏览报考须知，按照教育部、本人所在地省级招生考试管理机构、报考点以及我校网上公告的要求报名，如实填写报考信息、学历学位信息，并正确选择报考点，牢记网上注册的用户名及密码，以免造成无法考试或录取等不必要的损失。在网上报名期间，考生可自行修改网报信息或重新填报报名信息，但一位考生只能保留一条有效报名信息。逾期不再补报，也不得修改报名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3、报名期间将对考生学历（学籍）信息进行网上校验，考生可上网查看学历（学籍）校验结果。考生也可在报名前或报名期间自行登录“中国高等教育学生信息网”（网址：http://www.chsi.com.cn）查询本人学历（学籍）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未能通过学历（学籍）网上校验的考生应在我校规定时间内完成学历（学籍）核验。</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4、报考我校考生网上填写报考信息时应注意以下事项：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（1）考生须按照要求如实、准确地提交报名信息，不得弄虚作假。凡因考生个人原因网报信息误填、错填或填报虚假信息而造成不能考试或录取的，后果由考生本人自行承担。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考生只可填报我校的一个学科（或领域）。待初试结束，教育部公布进入复试基本分数要求后，需进行调剂的考生，可通过研招网调剂服务系统了解招生单位的生源缺额信息，并根据自己的成绩再填报调剂志愿。</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3）考生要准确填写个人信息，对本人所受奖惩情况，特别是要如实填写在参加普通和成人高等学校招生考试、全国硕士研究生招生考试、高等教育自学考试等国家教育考试过程中因违规、作弊所受处罚情况。对弄虚作假者，将按照《国家教育考试违规处理办法》和《普通高等学校招生违规行为处理暂行办法》严肃处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5、报考“退役大学生士兵”专项硕士研究生招生计划的考生，应为高校学生应征入伍退出现役，且符合硕士研究生报考条件者。考试报名时应选择填报退役大学生士兵专项计划，并按要求填报本人入伍前的入学信息以及入伍、退役等相关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（二）现场确认阶段：所有考生（不含推免生）必须在规定的时间，持学历学位证书或学生证、居民身份证、网上报名编号等，到网报时正确选择的报考点现场核对并确认其网上报名信息，逾期不再补办。</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1、现场确认时间：具体时间由各省级教育招生考试管理机构根据本地区报考情况自行确定和公布，逾期不再补报。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2、现场确认地点：网报时正确选择的报考点。请各类考生届时关注各报考点以及我校的有关现场确认公告。</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3、现场确认基本程序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考生提交本人居民身份证、学历学位证书（普通高校、成人高校、普通高校举办的成人高校学历教育应届本科毕业生持学生证）、网上报名编号以及报考点要求的其他报考材料，由报考点工作人员进行报考资格审验。报考“退役大学生士兵”专项硕士研究生招生计划的考生还应提交本人《入伍批准书》和《退出现役证》原件或复印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（2）考生按规定缴纳报考费（考生办理报考手续缴纳报考费后，不再退还）。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（3）考生按报考点规定配合采集本人图像等相关电子信息。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（4）所有考生均要对本人网上报名信息进行认真核对并确认。经考生确认的报名信息在考试、复试及录取阶段一律不作修改，因考生填写错误引起的一切后果由考生本人自行承担。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（三）“准考证”下载打印及初试安排</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2019年继续施行考生自行网上下载、打印“准考证”。打印准考证时间：2018年12月14日至12月24日，考生可凭网报用户名和密码登录研招网下载打印“准考证”，考生凭下载打印的“准考证”及居民身份证参加初试和复试。打印“准考证”时须使用A4幅面白纸打印，在使用期间“准考证”正反两面不得涂改或书写。</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考生应在考试前一天到考试地点了解考场有关注意事项。考试地点由报考点指定，详见准考证的说明；对在准考证上未打印出考试地点的考生，考前要注意查询报考点公布的有关信息。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2、初试安排</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初试方式均为笔试，考试时间以北京时间为准，不在规定日期举行的硕士研究生招生考试，国家一律不予承认。</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初试时间：2018年12月22日至23日（上午8:30-11:30，下午14:00-17:00）。</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我校不接收超过3小时考试的考生,凡2018年12月24日考试的考生网上报名时请不要选择我校作为考点。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（四）复试及录取</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报考我校的考生，初试成绩达到教育部及我校规定的复试基本分数线要求后，我校将适时组织安排复试。复试、调剂、体检、录取等工作将根据教育部、陕西省考试管理中心的安排和部署，按照“按需招生、全面衡量、择优录取和宁缺毋滥”的原则进行。与我校有关的初试成绩查询、复试通知、录取及通知书发放等信息，考生届时可登陆我校网站“通知公告”栏（网址http://www.xatu.edu.cn）进行查阅。教育部对研究生招生工作要求如有变更，我校将及时予以调整并在学校网站发布相关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五、 违规处理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对在全国硕士研究生考试招生中违规或作弊的考生，将按照《国家教育考试违规处理办法》（教育部令第33号）严肃处理。对在校生，由其所在学校按有关规定给予处分，直至开除学籍；对在职考生，应通知考生所在单位，由考生所在单位视情节给予党纪或政纪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对弄虚作假者（含推荐免试生），不论何时，一经查实，即按有关规定取消报考资格、录取资格或学籍。考生在硕士研究生招生考试中的违规或作弊事实将记入《国家教育考试诚信档案》，并将考生的有关情况通报其所在学校或单位，记入考生人事档案，作为其今后升学和就业的重要参考依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六、 学制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全日制硕士研究生：脱产学习，修业年限为三年。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非全日制硕士研究生：在基本修业年限或者学校规定的修业年限（一般应适当延长基本修业年限）内，在从事其他职业或者社会实践的同时，采取多种方式和灵活时间安排进行非脱产学习。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七、 学费标准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全日制硕士研究生：学术型、工程硕士：8000元/年；体育硕士：8000元/年；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会计硕士：12000元/年；新闻与传播硕士：11000元/年；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艺术硕士：15000元/年。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非全日制硕士研究生：体育硕士：10000元/年；新闻与传播硕士：12000元/年；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工程硕士：10000元/年；会计硕士：12000元/年；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 xml:space="preserve">艺术硕士：15000元/年；MBA：16000元/年。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八、西安工业大学2019年全日制硕士研究生一志愿报考优惠政策</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1.985、211高校全日制具有学士学位的本科毕业生，享受三年学业奖学金，每年8000元。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2.具有博士授予权高校（不含独立学院）全日制具有学士学位(不含专升本）的本科毕业生，被我校录取为工程硕士或理、工、经济、管理类学术型硕士研究生，享受三年学业奖学金，每年8000元。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3.其他全日制具有学士学位的本科毕业生，被我校录取为工程硕士或理、工、经济、管理类学术型硕士研究生，享受一年学业奖学金8000元。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九、西安工业大学2019年兵器学科优惠政策</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报考我校兵器科学与技术（082600）、兵器工程（085225）并被录取的考生，享受三年学业奖学金，每年8000元。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十、西安工业大学2019年“退役大学生士兵专项计划”优惠政策</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报考我校“退役大学生士兵专项计划”并被录取的考生，享受三年学业奖学金，每年8000元。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i w:val="0"/>
          <w:caps w:val="0"/>
          <w:color w:val="525151"/>
          <w:spacing w:val="0"/>
          <w:sz w:val="24"/>
          <w:szCs w:val="24"/>
        </w:rPr>
      </w:pPr>
      <w:r>
        <w:rPr>
          <w:rStyle w:val="7"/>
          <w:rFonts w:hint="default" w:ascii="Times New Roman" w:hAnsi="Times New Roman" w:cs="Times New Roman" w:eastAsiaTheme="minorEastAsia"/>
          <w:i w:val="0"/>
          <w:caps w:val="0"/>
          <w:color w:val="525151"/>
          <w:spacing w:val="0"/>
          <w:sz w:val="24"/>
          <w:szCs w:val="24"/>
          <w:bdr w:val="none" w:color="auto" w:sz="0" w:space="0"/>
        </w:rPr>
        <w:t>西安工业大学硕士研究生奖助体系一览表（全日制）</w:t>
      </w:r>
    </w:p>
    <w:tbl>
      <w:tblPr>
        <w:tblW w:w="4999" w:type="pct"/>
        <w:tblInd w:w="0" w:type="dxa"/>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05"/>
        <w:gridCol w:w="859"/>
        <w:gridCol w:w="1240"/>
        <w:gridCol w:w="2270"/>
        <w:gridCol w:w="3143"/>
      </w:tblGrid>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gridSpan w:val="2"/>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Style w:val="7"/>
                <w:rFonts w:hint="default" w:ascii="Times New Roman" w:hAnsi="Times New Roman" w:cs="Times New Roman" w:eastAsiaTheme="minorEastAsia"/>
                <w:sz w:val="22"/>
                <w:szCs w:val="22"/>
                <w:bdr w:val="none" w:color="auto" w:sz="0" w:space="0"/>
              </w:rPr>
              <w:t>奖助类型</w:t>
            </w:r>
          </w:p>
        </w:tc>
        <w:tc>
          <w:tcPr>
            <w:tcW w:w="74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Style w:val="7"/>
                <w:rFonts w:hint="default" w:ascii="Times New Roman" w:hAnsi="Times New Roman" w:cs="Times New Roman" w:eastAsiaTheme="minorEastAsia"/>
                <w:sz w:val="22"/>
                <w:szCs w:val="22"/>
                <w:bdr w:val="none" w:color="auto" w:sz="0" w:space="0"/>
              </w:rPr>
              <w:t>奖助对象</w:t>
            </w:r>
          </w:p>
        </w:tc>
        <w:tc>
          <w:tcPr>
            <w:tcW w:w="1364"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Style w:val="7"/>
                <w:rFonts w:hint="default" w:ascii="Times New Roman" w:hAnsi="Times New Roman" w:cs="Times New Roman" w:eastAsiaTheme="minorEastAsia"/>
                <w:sz w:val="22"/>
                <w:szCs w:val="22"/>
                <w:bdr w:val="none" w:color="auto" w:sz="0" w:space="0"/>
              </w:rPr>
              <w:t>奖助金额</w:t>
            </w:r>
          </w:p>
        </w:tc>
        <w:tc>
          <w:tcPr>
            <w:tcW w:w="1889"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Style w:val="7"/>
                <w:rFonts w:hint="default" w:ascii="Times New Roman" w:hAnsi="Times New Roman" w:cs="Times New Roman" w:eastAsiaTheme="minorEastAsia"/>
                <w:sz w:val="22"/>
                <w:szCs w:val="22"/>
                <w:bdr w:val="none" w:color="auto" w:sz="0" w:space="0"/>
              </w:rPr>
              <w:t>奖助条件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Style w:val="7"/>
                <w:rFonts w:hint="default" w:ascii="Times New Roman" w:hAnsi="Times New Roman" w:cs="Times New Roman" w:eastAsiaTheme="minorEastAsia"/>
                <w:sz w:val="22"/>
                <w:szCs w:val="22"/>
                <w:bdr w:val="none" w:color="auto" w:sz="0" w:space="0"/>
              </w:rPr>
              <w:t>（或比例）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gridSpan w:val="2"/>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助学金</w:t>
            </w:r>
          </w:p>
        </w:tc>
        <w:tc>
          <w:tcPr>
            <w:tcW w:w="74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研究生</w:t>
            </w:r>
          </w:p>
        </w:tc>
        <w:tc>
          <w:tcPr>
            <w:tcW w:w="1364"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（600元/生·月，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按10个月发放）</w:t>
            </w:r>
          </w:p>
        </w:tc>
        <w:tc>
          <w:tcPr>
            <w:tcW w:w="1889"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（脱产学习）</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84"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“三助”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岗位津贴</w:t>
            </w:r>
          </w:p>
        </w:tc>
        <w:tc>
          <w:tcPr>
            <w:tcW w:w="51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助研</w:t>
            </w:r>
          </w:p>
        </w:tc>
        <w:tc>
          <w:tcPr>
            <w:tcW w:w="745"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研究生</w:t>
            </w:r>
          </w:p>
        </w:tc>
        <w:tc>
          <w:tcPr>
            <w:tcW w:w="1364"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津贴标准根据学校相关规定执行</w:t>
            </w:r>
          </w:p>
        </w:tc>
        <w:tc>
          <w:tcPr>
            <w:tcW w:w="1889"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（脱产学习）</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84"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c>
          <w:tcPr>
            <w:tcW w:w="51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助管</w:t>
            </w:r>
          </w:p>
        </w:tc>
        <w:tc>
          <w:tcPr>
            <w:tcW w:w="745"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c>
          <w:tcPr>
            <w:tcW w:w="1364"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c>
          <w:tcPr>
            <w:tcW w:w="1889"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84"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c>
          <w:tcPr>
            <w:tcW w:w="51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助教</w:t>
            </w:r>
          </w:p>
        </w:tc>
        <w:tc>
          <w:tcPr>
            <w:tcW w:w="745"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c>
          <w:tcPr>
            <w:tcW w:w="1364"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c>
          <w:tcPr>
            <w:tcW w:w="1889"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default" w:ascii="Times New Roman" w:hAnsi="Times New Roman" w:cs="Times New Roman" w:eastAsiaTheme="minorEastAsia"/>
                <w:sz w:val="22"/>
                <w:szCs w:val="22"/>
              </w:rPr>
            </w:pP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gridSpan w:val="2"/>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国家奖学金</w:t>
            </w:r>
          </w:p>
        </w:tc>
        <w:tc>
          <w:tcPr>
            <w:tcW w:w="74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研究生</w:t>
            </w:r>
          </w:p>
        </w:tc>
        <w:tc>
          <w:tcPr>
            <w:tcW w:w="1364"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20000元/生</w:t>
            </w:r>
          </w:p>
        </w:tc>
        <w:tc>
          <w:tcPr>
            <w:tcW w:w="1889"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品学兼优研究生</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gridSpan w:val="2"/>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三好、优干</w:t>
            </w:r>
          </w:p>
        </w:tc>
        <w:tc>
          <w:tcPr>
            <w:tcW w:w="74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研究生</w:t>
            </w:r>
          </w:p>
        </w:tc>
        <w:tc>
          <w:tcPr>
            <w:tcW w:w="1364"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500元/生</w:t>
            </w:r>
          </w:p>
        </w:tc>
        <w:tc>
          <w:tcPr>
            <w:tcW w:w="1889"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德智体全面发展的研究生及学生干部</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000" w:type="pct"/>
            <w:gridSpan w:val="2"/>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学业奖学金</w:t>
            </w:r>
          </w:p>
        </w:tc>
        <w:tc>
          <w:tcPr>
            <w:tcW w:w="745"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研究生</w:t>
            </w:r>
          </w:p>
        </w:tc>
        <w:tc>
          <w:tcPr>
            <w:tcW w:w="1364"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一等：8000元/生·年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二等：5000元/生·年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三等：3000元/生·年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 </w:t>
            </w:r>
          </w:p>
        </w:tc>
        <w:tc>
          <w:tcPr>
            <w:tcW w:w="1889"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bdr w:val="none" w:color="auto" w:sz="0" w:space="0"/>
              </w:rPr>
              <w:t>业绩突出的研究生</w:t>
            </w: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十一、我校代码及咨询电话</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（一）招生单位代码：西安工业大学—10702</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报考点代码：  西安工业大学---6105</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（二）研究生招生办公室咨询电话：029-86173235</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十二、毕业就业</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我校硕士研究生毕业按国家有关规定参加毕业派遣，非定向生可通过毕业招聘会双向选择就业单位。学校定期举办就业指导培训及讲座，帮助学生确立正确的职业生涯规划和就业方向。近年来我校毕业的硕士研究生就业质量增高，科研院所、国企、外资企业等均有我校毕业生，毕业生就业率稳定增长。</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 xml:space="preserve">十三、其他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我校艺术硕士在金花校区培养，学习及住宿在金花校区，其他硕士研究生均在未央校区培养，学习及住宿在未央校区。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十四、硕士学位授权学科目录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b w:val="0"/>
          <w:bCs w:val="0"/>
          <w:i w:val="0"/>
          <w:caps w:val="0"/>
          <w:color w:val="333333"/>
          <w:spacing w:val="0"/>
          <w:sz w:val="24"/>
          <w:szCs w:val="24"/>
          <w:bdr w:val="none" w:color="auto" w:sz="0" w:space="0"/>
        </w:rPr>
      </w:pPr>
      <w:r>
        <w:rPr>
          <w:rFonts w:hint="default" w:ascii="Times New Roman" w:hAnsi="Times New Roman" w:cs="Times New Roman" w:eastAsiaTheme="minorEastAsia"/>
          <w:b w:val="0"/>
          <w:bCs w:val="0"/>
          <w:i w:val="0"/>
          <w:caps w:val="0"/>
          <w:color w:val="333333"/>
          <w:spacing w:val="0"/>
          <w:sz w:val="24"/>
          <w:szCs w:val="24"/>
          <w:bdr w:val="none" w:color="auto" w:sz="0" w:space="0"/>
        </w:rPr>
        <w:t>附表1：学术型（全日制）</w:t>
      </w:r>
    </w:p>
    <w:tbl>
      <w:tblPr>
        <w:tblW w:w="5000" w:type="pct"/>
        <w:tblInd w:w="0" w:type="dxa"/>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6"/>
        <w:gridCol w:w="1000"/>
        <w:gridCol w:w="1581"/>
        <w:gridCol w:w="436"/>
        <w:gridCol w:w="1000"/>
        <w:gridCol w:w="3566"/>
      </w:tblGrid>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gridSpan w:val="6"/>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仿宋" w:hAnsi="仿宋" w:eastAsia="仿宋" w:cs="仿宋"/>
                <w:i w:val="0"/>
                <w:caps w:val="0"/>
                <w:color w:val="525151"/>
                <w:spacing w:val="0"/>
                <w:sz w:val="44"/>
                <w:szCs w:val="44"/>
                <w:bdr w:val="none" w:color="auto" w:sz="0" w:space="0"/>
              </w:rPr>
              <w:t>硕士学位授权学科点</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序号</w:t>
            </w:r>
          </w:p>
        </w:tc>
        <w:tc>
          <w:tcPr>
            <w:tcW w:w="1551" w:type="pct"/>
            <w:gridSpan w:val="2"/>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硕士学位授权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一级学科</w:t>
            </w:r>
          </w:p>
        </w:tc>
        <w:tc>
          <w:tcPr>
            <w:tcW w:w="262"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序号</w:t>
            </w:r>
          </w:p>
        </w:tc>
        <w:tc>
          <w:tcPr>
            <w:tcW w:w="2742" w:type="pct"/>
            <w:gridSpan w:val="2"/>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硕士学位授权二级学科</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6"/>
                <w:szCs w:val="16"/>
              </w:rPr>
            </w:pP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代</w:t>
            </w:r>
            <w:r>
              <w:rPr>
                <w:rStyle w:val="7"/>
                <w:rFonts w:ascii="Courier New" w:hAnsi="Courier New" w:eastAsia="微软雅黑" w:cs="Courier New"/>
                <w:i w:val="0"/>
                <w:caps w:val="0"/>
                <w:color w:val="525151"/>
                <w:spacing w:val="0"/>
                <w:sz w:val="24"/>
                <w:szCs w:val="24"/>
                <w:bdr w:val="none" w:color="auto" w:sz="0" w:space="0"/>
              </w:rPr>
              <w:t> </w:t>
            </w:r>
            <w:r>
              <w:rPr>
                <w:rStyle w:val="7"/>
                <w:rFonts w:hint="eastAsia" w:ascii="仿宋" w:hAnsi="仿宋" w:eastAsia="仿宋" w:cs="仿宋"/>
                <w:i w:val="0"/>
                <w:caps w:val="0"/>
                <w:color w:val="525151"/>
                <w:spacing w:val="0"/>
                <w:sz w:val="24"/>
                <w:szCs w:val="24"/>
                <w:bdr w:val="none" w:color="auto" w:sz="0" w:space="0"/>
              </w:rPr>
              <w:t> 码</w:t>
            </w:r>
          </w:p>
        </w:tc>
        <w:tc>
          <w:tcPr>
            <w:tcW w:w="950"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名</w:t>
            </w:r>
            <w:r>
              <w:rPr>
                <w:rStyle w:val="7"/>
                <w:rFonts w:hint="default" w:ascii="Courier New" w:hAnsi="Courier New" w:eastAsia="微软雅黑" w:cs="Courier New"/>
                <w:i w:val="0"/>
                <w:caps w:val="0"/>
                <w:color w:val="525151"/>
                <w:spacing w:val="0"/>
                <w:sz w:val="24"/>
                <w:szCs w:val="24"/>
                <w:bdr w:val="none" w:color="auto" w:sz="0" w:space="0"/>
              </w:rPr>
              <w:t> </w:t>
            </w:r>
            <w:r>
              <w:rPr>
                <w:rStyle w:val="7"/>
                <w:rFonts w:hint="eastAsia" w:ascii="仿宋" w:hAnsi="仿宋" w:eastAsia="仿宋" w:cs="仿宋"/>
                <w:i w:val="0"/>
                <w:caps w:val="0"/>
                <w:color w:val="525151"/>
                <w:spacing w:val="0"/>
                <w:sz w:val="24"/>
                <w:szCs w:val="24"/>
                <w:bdr w:val="none" w:color="auto" w:sz="0" w:space="0"/>
              </w:rPr>
              <w:t> 称</w:t>
            </w:r>
          </w:p>
        </w:tc>
        <w:tc>
          <w:tcPr>
            <w:tcW w:w="262"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6"/>
                <w:szCs w:val="16"/>
              </w:rPr>
            </w:pP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代</w:t>
            </w:r>
            <w:r>
              <w:rPr>
                <w:rStyle w:val="7"/>
                <w:rFonts w:hint="default" w:ascii="Courier New" w:hAnsi="Courier New" w:eastAsia="微软雅黑" w:cs="Courier New"/>
                <w:i w:val="0"/>
                <w:caps w:val="0"/>
                <w:color w:val="525151"/>
                <w:spacing w:val="0"/>
                <w:sz w:val="24"/>
                <w:szCs w:val="24"/>
                <w:bdr w:val="none" w:color="auto" w:sz="0" w:space="0"/>
              </w:rPr>
              <w:t> </w:t>
            </w:r>
            <w:r>
              <w:rPr>
                <w:rStyle w:val="7"/>
                <w:rFonts w:hint="eastAsia" w:ascii="仿宋" w:hAnsi="仿宋" w:eastAsia="仿宋" w:cs="仿宋"/>
                <w:i w:val="0"/>
                <w:caps w:val="0"/>
                <w:color w:val="525151"/>
                <w:spacing w:val="0"/>
                <w:sz w:val="24"/>
                <w:szCs w:val="24"/>
                <w:bdr w:val="none" w:color="auto" w:sz="0" w:space="0"/>
              </w:rPr>
              <w:t> 码</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caps w:val="0"/>
                <w:color w:val="525151"/>
                <w:spacing w:val="0"/>
                <w:sz w:val="24"/>
                <w:szCs w:val="24"/>
                <w:bdr w:val="none" w:color="auto" w:sz="0" w:space="0"/>
              </w:rPr>
              <w:t>名</w:t>
            </w:r>
            <w:r>
              <w:rPr>
                <w:rStyle w:val="7"/>
                <w:rFonts w:hint="default" w:ascii="Courier New" w:hAnsi="Courier New" w:eastAsia="微软雅黑" w:cs="Courier New"/>
                <w:i w:val="0"/>
                <w:caps w:val="0"/>
                <w:color w:val="525151"/>
                <w:spacing w:val="0"/>
                <w:sz w:val="24"/>
                <w:szCs w:val="24"/>
                <w:bdr w:val="none" w:color="auto" w:sz="0" w:space="0"/>
              </w:rPr>
              <w:t> </w:t>
            </w:r>
            <w:r>
              <w:rPr>
                <w:rStyle w:val="7"/>
                <w:rFonts w:hint="eastAsia" w:ascii="仿宋" w:hAnsi="仿宋" w:eastAsia="仿宋" w:cs="仿宋"/>
                <w:i w:val="0"/>
                <w:caps w:val="0"/>
                <w:color w:val="525151"/>
                <w:spacing w:val="0"/>
                <w:sz w:val="24"/>
                <w:szCs w:val="24"/>
                <w:bdr w:val="none" w:color="auto" w:sz="0" w:space="0"/>
              </w:rPr>
              <w:t> 称</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0202</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应用经济学</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020202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区域经济学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020204</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金融学（含∶保险学）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020205</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产业经济学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020207</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劳动经济学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5</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020210</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国防经济</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0305</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马克思主义理论</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6</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030501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马克思主义基本原理</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7</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030502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马克思主义发展史</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8</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030503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马克思主义中国化研究</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9</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030505</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思想政治教育</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10</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030506</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中国近现代史基本问题研究</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0501</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中国语言文学</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11</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050101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文艺学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12</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050102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语言学及应用语言学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13</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050105</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中国古代文学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14</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050106</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中国现当代文学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0502</w:t>
            </w:r>
          </w:p>
        </w:tc>
        <w:tc>
          <w:tcPr>
            <w:tcW w:w="950"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外国语言文学</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15</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050211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外国语言学及应用语言学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0702</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物理学</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16</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070201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理论物理</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17</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070202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粒子物理与原子核物理</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18</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070203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原子与分子物理</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19</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070205</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凝聚态物理</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20</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070207</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光学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5</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0802</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机械工程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21</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080201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机械制造及其自动化</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22</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080202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机械电子工程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23</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080203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机械设计及理论</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24</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080204</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车辆工程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25</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0802Z1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工业设计</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26</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0802Z2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包装工程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6</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0803</w:t>
            </w:r>
          </w:p>
        </w:tc>
        <w:tc>
          <w:tcPr>
            <w:tcW w:w="950"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光学工程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7</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0804</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仪器科学与技术</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27</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080401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精密仪器及机械</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28</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080402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测试计量技术及仪器</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8</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0805</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材料科学与工程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29</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080501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材料物理与化学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30</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080502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材料学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31</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080503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材料加工工程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0810</w:t>
            </w:r>
          </w:p>
        </w:tc>
        <w:tc>
          <w:tcPr>
            <w:tcW w:w="950"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信息与通信工程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32</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081001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通信与信息系统</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9</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0811</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控制科学与工程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33</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081101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控制理论与控制工程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34</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081102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检测技术与自动化装置</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35</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081103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系统工程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36</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081104</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模式识别与智能系统</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37</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081105</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导航、制导与控制</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10</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0812</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计算机科学与技术</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38</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081201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计算机系统结构</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39</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081202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计算机软件与理论</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40</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081203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计算机应用技术</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11</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0814</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土木工程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41</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081401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岩土工程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42</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081402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结构工程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43</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081403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市政工程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44</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081405</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防灾减灾工程及防护工程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45</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081406</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桥梁与隧道工程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12</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0826</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兵器科学与技术</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46</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082601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武器系统与运用工程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47</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082602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兵器发射理论与技术</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48</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082603</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火炮、自动武器与弹药工程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13</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0835</w:t>
            </w:r>
          </w:p>
        </w:tc>
        <w:tc>
          <w:tcPr>
            <w:tcW w:w="950"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软件工程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 </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 </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 </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14</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1201</w:t>
            </w:r>
          </w:p>
        </w:tc>
        <w:tc>
          <w:tcPr>
            <w:tcW w:w="950"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管理科学与工程</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25151"/>
                <w:spacing w:val="0"/>
                <w:sz w:val="20"/>
                <w:szCs w:val="20"/>
              </w:rPr>
            </w:pPr>
            <w:r>
              <w:rPr>
                <w:rFonts w:hint="eastAsia" w:ascii="微软雅黑" w:hAnsi="微软雅黑" w:eastAsia="微软雅黑" w:cs="微软雅黑"/>
                <w:i w:val="0"/>
                <w:caps w:val="0"/>
                <w:color w:val="525151"/>
                <w:spacing w:val="0"/>
                <w:kern w:val="0"/>
                <w:sz w:val="20"/>
                <w:szCs w:val="20"/>
                <w:bdr w:val="none" w:color="auto" w:sz="0" w:space="0"/>
                <w:lang w:val="en-US" w:eastAsia="zh-CN" w:bidi="ar"/>
              </w:rPr>
              <w:t> </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443"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15</w:t>
            </w:r>
          </w:p>
        </w:tc>
        <w:tc>
          <w:tcPr>
            <w:tcW w:w="601"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1202</w:t>
            </w:r>
          </w:p>
        </w:tc>
        <w:tc>
          <w:tcPr>
            <w:tcW w:w="950" w:type="pct"/>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工商管理</w:t>
            </w: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49</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120201</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会计学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50</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120202</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企业管理（含：财务管理、市场营销、人力资源管理）</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601"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950" w:type="pct"/>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20"/>
                <w:szCs w:val="20"/>
              </w:rPr>
            </w:pPr>
          </w:p>
        </w:tc>
        <w:tc>
          <w:tcPr>
            <w:tcW w:w="262"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51</w:t>
            </w:r>
          </w:p>
        </w:tc>
        <w:tc>
          <w:tcPr>
            <w:tcW w:w="60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7"/>
                <w:rFonts w:hint="eastAsia" w:ascii="仿宋" w:hAnsi="仿宋" w:eastAsia="仿宋" w:cs="仿宋"/>
                <w:i w:val="0"/>
                <w:caps w:val="0"/>
                <w:color w:val="525151"/>
                <w:spacing w:val="0"/>
                <w:sz w:val="21"/>
                <w:szCs w:val="21"/>
                <w:bdr w:val="none" w:color="auto" w:sz="0" w:space="0"/>
              </w:rPr>
              <w:t>120204</w:t>
            </w:r>
          </w:p>
        </w:tc>
        <w:tc>
          <w:tcPr>
            <w:tcW w:w="2141" w:type="pc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2"/>
                <w:szCs w:val="32"/>
              </w:rPr>
            </w:pPr>
            <w:r>
              <w:rPr>
                <w:rStyle w:val="7"/>
                <w:rFonts w:hint="eastAsia" w:ascii="仿宋" w:hAnsi="仿宋" w:eastAsia="仿宋" w:cs="仿宋"/>
                <w:i w:val="0"/>
                <w:caps w:val="0"/>
                <w:color w:val="525151"/>
                <w:spacing w:val="0"/>
                <w:sz w:val="21"/>
                <w:szCs w:val="21"/>
                <w:bdr w:val="none" w:color="auto" w:sz="0" w:space="0"/>
              </w:rPr>
              <w:t>技术经济及管理</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7"/>
          <w:rFonts w:hint="eastAsia" w:ascii="宋体" w:hAnsi="宋体" w:eastAsia="宋体" w:cs="宋体"/>
          <w:i w:val="0"/>
          <w:caps w:val="0"/>
          <w:color w:val="525151"/>
          <w:spacing w:val="0"/>
          <w:sz w:val="24"/>
          <w:szCs w:val="24"/>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525151"/>
          <w:spacing w:val="0"/>
          <w:sz w:val="16"/>
          <w:szCs w:val="16"/>
        </w:rPr>
      </w:pPr>
      <w:r>
        <w:rPr>
          <w:rStyle w:val="7"/>
          <w:rFonts w:hint="eastAsia" w:ascii="宋体" w:hAnsi="宋体" w:eastAsia="宋体" w:cs="宋体"/>
          <w:i w:val="0"/>
          <w:caps w:val="0"/>
          <w:color w:val="525151"/>
          <w:spacing w:val="0"/>
          <w:sz w:val="24"/>
          <w:szCs w:val="24"/>
          <w:bdr w:val="none" w:color="auto" w:sz="0" w:space="0"/>
        </w:rPr>
        <w:t>附表2：专业型（全日制）</w:t>
      </w:r>
    </w:p>
    <w:tbl>
      <w:tblPr>
        <w:tblW w:w="0" w:type="auto"/>
        <w:tblInd w:w="0" w:type="dxa"/>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64"/>
        <w:gridCol w:w="2091"/>
        <w:gridCol w:w="4456"/>
      </w:tblGrid>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专业学位类别</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专业代码</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专业名称</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0452体育</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045201</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体育教学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045202</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运动训练</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045204</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社会体育指导</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0552新闻与传播</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055200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新闻与传播</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0852工程</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085201</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机械工程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085202</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光学工程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085203</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仪器仪表工程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085204</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材料工程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085208</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电子与通信工程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控制工程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085211</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计算机技术</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085212</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软件工程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085213</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建筑与土木工程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085225</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兵器工程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085236</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工业工程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085240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物流工程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1253会计</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125300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会计（MPACC）</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1351艺术</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135107</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18"/>
                <w:szCs w:val="18"/>
                <w:bdr w:val="none" w:color="auto" w:sz="0" w:space="0"/>
              </w:rPr>
              <w:t>美术</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135108</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艺术设计</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525151"/>
          <w:spacing w:val="0"/>
          <w:sz w:val="16"/>
          <w:szCs w:val="16"/>
        </w:rPr>
      </w:pPr>
      <w:r>
        <w:rPr>
          <w:rStyle w:val="7"/>
          <w:rFonts w:hint="eastAsia" w:ascii="宋体" w:hAnsi="宋体" w:eastAsia="宋体" w:cs="宋体"/>
          <w:i w:val="0"/>
          <w:caps w:val="0"/>
          <w:color w:val="525151"/>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525151"/>
          <w:spacing w:val="0"/>
          <w:sz w:val="16"/>
          <w:szCs w:val="16"/>
        </w:rPr>
      </w:pPr>
      <w:r>
        <w:rPr>
          <w:rStyle w:val="7"/>
          <w:rFonts w:hint="eastAsia" w:ascii="宋体" w:hAnsi="宋体" w:eastAsia="宋体" w:cs="宋体"/>
          <w:i w:val="0"/>
          <w:caps w:val="0"/>
          <w:color w:val="525151"/>
          <w:spacing w:val="0"/>
          <w:sz w:val="24"/>
          <w:szCs w:val="24"/>
          <w:bdr w:val="none" w:color="auto" w:sz="0" w:space="0"/>
        </w:rPr>
        <w:t>附表3：专业型（非全日制）</w:t>
      </w:r>
    </w:p>
    <w:tbl>
      <w:tblPr>
        <w:tblW w:w="0" w:type="auto"/>
        <w:tblInd w:w="0" w:type="dxa"/>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64"/>
        <w:gridCol w:w="2091"/>
        <w:gridCol w:w="4456"/>
      </w:tblGrid>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专业学位类别</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专业代码</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专业名称</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0452体育</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045201</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体育教学</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045202</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运动训练</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045204</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社会体育指导</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0552新闻与传播</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055200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新闻与传播</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0852工程</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085201</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机械工程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085202</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光学工程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085203</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仪器仪表工程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085204</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材料工程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085208</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电子与通信工程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控制工程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085211</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计算机技术</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085212</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软件工程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085213</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建筑与土木工程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085225</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兵器工程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085236</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工业工程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085240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物流工程</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1251工商管理</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125100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工商管理硕士（MBA）</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1253会计</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125300</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会计（MPACC）</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75" w:type="dxa"/>
            <w:vMerge w:val="restart"/>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1351艺术</w:t>
            </w: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135107</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18"/>
                <w:szCs w:val="18"/>
                <w:bdr w:val="none" w:color="auto" w:sz="0" w:space="0"/>
              </w:rPr>
              <w:t>美术</w:t>
            </w:r>
          </w:p>
        </w:tc>
      </w:tr>
      <w:tr>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75" w:type="dxa"/>
            <w:vMerge w:val="continue"/>
            <w:tcBorders>
              <w:top w:val="outset" w:color="auto" w:sz="6" w:space="0"/>
              <w:left w:val="outset" w:color="auto" w:sz="6" w:space="0"/>
              <w:bottom w:val="single" w:color="000000" w:sz="4" w:space="0"/>
              <w:right w:val="single" w:color="000000" w:sz="4" w:space="0"/>
            </w:tcBorders>
            <w:shd w:val="clear"/>
            <w:vAlign w:val="center"/>
          </w:tcPr>
          <w:p>
            <w:pPr>
              <w:rPr>
                <w:rFonts w:hint="eastAsia" w:ascii="微软雅黑" w:hAnsi="微软雅黑" w:eastAsia="微软雅黑" w:cs="微软雅黑"/>
                <w:i w:val="0"/>
                <w:caps w:val="0"/>
                <w:color w:val="525151"/>
                <w:spacing w:val="0"/>
                <w:sz w:val="15"/>
                <w:szCs w:val="15"/>
              </w:rPr>
            </w:pPr>
          </w:p>
        </w:tc>
        <w:tc>
          <w:tcPr>
            <w:tcW w:w="2212"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135108</w:t>
            </w:r>
          </w:p>
        </w:tc>
        <w:tc>
          <w:tcPr>
            <w:tcW w:w="4750" w:type="dxa"/>
            <w:tcBorders>
              <w:top w:val="outset" w:color="auto" w:sz="6" w:space="0"/>
              <w:left w:val="outset" w:color="auto" w:sz="6" w:space="0"/>
              <w:bottom w:val="single" w:color="000000" w:sz="4" w:space="0"/>
              <w:right w:val="single" w:color="000000" w:sz="4"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7"/>
                <w:rFonts w:hint="eastAsia" w:ascii="仿宋" w:hAnsi="仿宋" w:eastAsia="仿宋" w:cs="仿宋"/>
                <w:i w:val="0"/>
                <w:caps w:val="0"/>
                <w:color w:val="525151"/>
                <w:spacing w:val="0"/>
                <w:sz w:val="21"/>
                <w:szCs w:val="21"/>
                <w:bdr w:val="none" w:color="auto" w:sz="0" w:space="0"/>
              </w:rPr>
              <w:t>艺术设计</w:t>
            </w:r>
          </w:p>
        </w:tc>
      </w:tr>
    </w:tbl>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eastAsiaTheme="minorEastAsia"/>
          <w:b w:val="0"/>
          <w:bCs w:val="0"/>
          <w:i w:val="0"/>
          <w:caps w:val="0"/>
          <w:color w:val="333333"/>
          <w:spacing w:val="0"/>
          <w:sz w:val="21"/>
          <w:szCs w:val="21"/>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Malgun Gothic Semilight"/>
    <w:panose1 w:val="02010600040101010101"/>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D7B3C"/>
    <w:rsid w:val="021A302E"/>
    <w:rsid w:val="055E3B41"/>
    <w:rsid w:val="074A23F8"/>
    <w:rsid w:val="0C8A5D1A"/>
    <w:rsid w:val="0E622991"/>
    <w:rsid w:val="17845407"/>
    <w:rsid w:val="1B3A65FE"/>
    <w:rsid w:val="27B25015"/>
    <w:rsid w:val="2E4B3916"/>
    <w:rsid w:val="36E02166"/>
    <w:rsid w:val="43124299"/>
    <w:rsid w:val="4E076748"/>
    <w:rsid w:val="4EDD7B3C"/>
    <w:rsid w:val="7F063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2020-03-02T07:11:00Z</dcterms:created>
  <dc:creator>贱贱</dc:creator>
  <cp:lastModifiedBy>贱贱</cp:lastModifiedBy>
  <dcterms:modified xsi:type="dcterms:W3CDTF">2020-03-02T08:40:47Z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