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350" w:type="dxa"/>
        <w:jc w:val="center"/>
        <w:tblCellSpacing w:w="0" w:type="dxa"/>
        <w:shd w:val="clear"/>
        <w:tblLayout w:type="autofit"/>
        <w:tblCellMar>
          <w:top w:w="0" w:type="dxa"/>
          <w:left w:w="0" w:type="dxa"/>
          <w:bottom w:w="0" w:type="dxa"/>
          <w:right w:w="0" w:type="dxa"/>
        </w:tblCellMar>
      </w:tblPr>
      <w:tblGrid>
        <w:gridCol w:w="7350"/>
      </w:tblGrid>
      <w:tr>
        <w:tblPrEx>
          <w:shd w:val="clear"/>
          <w:tblCellMar>
            <w:top w:w="0" w:type="dxa"/>
            <w:left w:w="0" w:type="dxa"/>
            <w:bottom w:w="0" w:type="dxa"/>
            <w:right w:w="0" w:type="dxa"/>
          </w:tblCellMar>
        </w:tblPrEx>
        <w:trPr>
          <w:trHeight w:val="323" w:hRule="atLeast"/>
          <w:tblCellSpacing w:w="0" w:type="dxa"/>
          <w:jc w:val="center"/>
        </w:trPr>
        <w:tc>
          <w:tcPr>
            <w:tcW w:w="7283" w:type="dxa"/>
            <w:shd w:val="clear"/>
            <w:vAlign w:val="center"/>
          </w:tcPr>
          <w:p>
            <w:pPr>
              <w:keepNext w:val="0"/>
              <w:keepLines w:val="0"/>
              <w:widowControl/>
              <w:suppressLineNumbers w:val="0"/>
              <w:ind w:left="0" w:firstLine="0"/>
              <w:jc w:val="center"/>
              <w:rPr>
                <w:rFonts w:ascii="Tahoma" w:hAnsi="Tahoma" w:eastAsia="Tahoma" w:cs="Tahoma"/>
                <w:i w:val="0"/>
                <w:caps w:val="0"/>
                <w:color w:val="333333"/>
                <w:spacing w:val="0"/>
                <w:sz w:val="18"/>
                <w:szCs w:val="18"/>
              </w:rPr>
            </w:pPr>
            <w:r>
              <w:rPr>
                <w:rFonts w:hint="default" w:ascii="Tahoma" w:hAnsi="Tahoma" w:eastAsia="Tahoma" w:cs="Tahoma"/>
                <w:i w:val="0"/>
                <w:caps w:val="0"/>
                <w:color w:val="333333"/>
                <w:spacing w:val="0"/>
                <w:kern w:val="0"/>
                <w:sz w:val="18"/>
                <w:szCs w:val="18"/>
                <w:lang w:val="en-US" w:eastAsia="zh-CN" w:bidi="ar"/>
              </w:rPr>
              <w:t>硕士研究生招生拟调剂信息</w:t>
            </w:r>
          </w:p>
        </w:tc>
      </w:tr>
      <w:tr>
        <w:tblPrEx>
          <w:shd w:val="clear"/>
          <w:tblCellMar>
            <w:top w:w="0" w:type="dxa"/>
            <w:left w:w="0" w:type="dxa"/>
            <w:bottom w:w="0" w:type="dxa"/>
            <w:right w:w="0" w:type="dxa"/>
          </w:tblCellMar>
        </w:tblPrEx>
        <w:trPr>
          <w:trHeight w:val="211" w:hRule="atLeast"/>
          <w:tblCellSpacing w:w="0" w:type="dxa"/>
          <w:jc w:val="center"/>
        </w:trPr>
        <w:tc>
          <w:tcPr>
            <w:tcW w:w="0" w:type="auto"/>
            <w:shd w:val="clear"/>
            <w:vAlign w:val="top"/>
          </w:tcPr>
          <w:p>
            <w:pPr>
              <w:keepNext w:val="0"/>
              <w:keepLines w:val="0"/>
              <w:widowControl/>
              <w:suppressLineNumbers w:val="0"/>
              <w:ind w:left="0" w:firstLine="0"/>
              <w:jc w:val="both"/>
              <w:rPr>
                <w:rFonts w:hint="default" w:ascii="Tahoma" w:hAnsi="Tahoma" w:eastAsia="Tahoma" w:cs="Tahoma"/>
                <w:i w:val="0"/>
                <w:caps w:val="0"/>
                <w:color w:val="13A3E0"/>
                <w:spacing w:val="0"/>
                <w:sz w:val="9"/>
                <w:szCs w:val="9"/>
              </w:rPr>
            </w:pPr>
            <w:bookmarkStart w:id="0" w:name="_GoBack"/>
            <w:bookmarkEnd w:id="0"/>
          </w:p>
        </w:tc>
      </w:tr>
      <w:tr>
        <w:tblPrEx>
          <w:shd w:val="clear"/>
          <w:tblCellMar>
            <w:top w:w="0" w:type="dxa"/>
            <w:left w:w="0" w:type="dxa"/>
            <w:bottom w:w="0" w:type="dxa"/>
            <w:right w:w="0" w:type="dxa"/>
          </w:tblCellMar>
        </w:tblPrEx>
        <w:trPr>
          <w:trHeight w:val="533" w:hRule="atLeast"/>
          <w:tblCellSpacing w:w="0" w:type="dxa"/>
          <w:jc w:val="center"/>
        </w:trPr>
        <w:tc>
          <w:tcPr>
            <w:tcW w:w="0" w:type="auto"/>
            <w:shd w:val="clear"/>
            <w:vAlign w:val="top"/>
          </w:tcPr>
          <w:p>
            <w:pPr>
              <w:keepNext w:val="0"/>
              <w:keepLines w:val="0"/>
              <w:widowControl/>
              <w:suppressLineNumbers w:val="0"/>
              <w:spacing w:before="156" w:beforeAutospacing="0" w:after="156" w:afterAutospacing="0" w:line="400" w:lineRule="atLeast"/>
              <w:ind w:left="0" w:right="0" w:firstLine="482"/>
              <w:jc w:val="left"/>
            </w:pPr>
            <w:r>
              <w:rPr>
                <w:rFonts w:hint="eastAsia" w:ascii="宋体" w:hAnsi="宋体" w:eastAsia="宋体" w:cs="宋体"/>
                <w:b/>
                <w:i w:val="0"/>
                <w:caps w:val="0"/>
                <w:color w:val="000000"/>
                <w:spacing w:val="0"/>
                <w:kern w:val="0"/>
                <w:sz w:val="24"/>
                <w:szCs w:val="24"/>
                <w:lang w:val="en-US" w:eastAsia="zh-CN" w:bidi="ar"/>
              </w:rPr>
              <w:t>一、调剂生资助政策</w:t>
            </w:r>
          </w:p>
          <w:p>
            <w:pPr>
              <w:keepNext w:val="0"/>
              <w:keepLines w:val="0"/>
              <w:widowControl/>
              <w:suppressLineNumbers w:val="0"/>
              <w:spacing w:before="0" w:beforeAutospacing="0" w:after="0" w:afterAutospacing="0" w:line="400" w:lineRule="atLeast"/>
              <w:ind w:left="0" w:right="0" w:firstLine="482"/>
              <w:jc w:val="left"/>
            </w:pPr>
            <w:r>
              <w:rPr>
                <w:rFonts w:hint="eastAsia" w:ascii="宋体" w:hAnsi="宋体" w:eastAsia="宋体" w:cs="宋体"/>
                <w:b/>
                <w:i w:val="0"/>
                <w:caps w:val="0"/>
                <w:color w:val="000000"/>
                <w:spacing w:val="0"/>
                <w:kern w:val="0"/>
                <w:sz w:val="24"/>
                <w:szCs w:val="24"/>
                <w:lang w:val="en-US" w:eastAsia="zh-CN" w:bidi="ar"/>
              </w:rPr>
              <w:t>（一）、学校奖助</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7"/>
              <w:gridCol w:w="1379"/>
              <w:gridCol w:w="2008"/>
              <w:gridCol w:w="1208"/>
              <w:gridCol w:w="165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5" w:hRule="atLeast"/>
                <w:jc w:val="center"/>
              </w:trPr>
              <w:tc>
                <w:tcPr>
                  <w:tcW w:w="13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b/>
                      <w:color w:val="000000"/>
                      <w:kern w:val="0"/>
                      <w:sz w:val="24"/>
                      <w:szCs w:val="24"/>
                      <w:lang w:val="en-US" w:eastAsia="zh-CN" w:bidi="ar"/>
                    </w:rPr>
                    <w:t>奖学金名称</w:t>
                  </w:r>
                </w:p>
              </w:tc>
              <w:tc>
                <w:tcPr>
                  <w:tcW w:w="17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b/>
                      <w:color w:val="000000"/>
                      <w:kern w:val="0"/>
                      <w:sz w:val="24"/>
                      <w:szCs w:val="24"/>
                      <w:lang w:val="en-US" w:eastAsia="zh-CN" w:bidi="ar"/>
                    </w:rPr>
                    <w:t>奖励标准</w:t>
                  </w:r>
                </w:p>
              </w:tc>
              <w:tc>
                <w:tcPr>
                  <w:tcW w:w="26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b/>
                      <w:color w:val="000000"/>
                      <w:kern w:val="0"/>
                      <w:sz w:val="24"/>
                      <w:szCs w:val="24"/>
                      <w:lang w:val="en-US" w:eastAsia="zh-CN" w:bidi="ar"/>
                    </w:rPr>
                    <w:t>适用对象</w:t>
                  </w:r>
                </w:p>
              </w:tc>
              <w:tc>
                <w:tcPr>
                  <w:tcW w:w="166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b/>
                      <w:color w:val="000000"/>
                      <w:kern w:val="0"/>
                      <w:sz w:val="24"/>
                      <w:szCs w:val="24"/>
                      <w:lang w:val="en-US" w:eastAsia="zh-CN" w:bidi="ar"/>
                    </w:rPr>
                    <w:t>适用专业</w:t>
                  </w:r>
                </w:p>
              </w:tc>
              <w:tc>
                <w:tcPr>
                  <w:tcW w:w="22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b/>
                      <w:color w:val="00000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2040" w:hRule="atLeast"/>
                <w:jc w:val="center"/>
              </w:trPr>
              <w:tc>
                <w:tcPr>
                  <w:tcW w:w="134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海大研究生学业奖学金</w:t>
                  </w:r>
                </w:p>
              </w:tc>
              <w:tc>
                <w:tcPr>
                  <w:tcW w:w="17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3000元/学年</w:t>
                  </w:r>
                </w:p>
              </w:tc>
              <w:tc>
                <w:tcPr>
                  <w:tcW w:w="265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调剂生源</w:t>
                  </w:r>
                </w:p>
              </w:tc>
              <w:tc>
                <w:tcPr>
                  <w:tcW w:w="16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经济管理学院所有专业</w:t>
                  </w:r>
                </w:p>
              </w:tc>
              <w:tc>
                <w:tcPr>
                  <w:tcW w:w="2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1、该项奖励只适用于被正式录取且个人档案到校的全日制、全脱产硕士研究生。</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2、入学后按年度发放。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270" w:hRule="atLeast"/>
                <w:jc w:val="center"/>
              </w:trPr>
              <w:tc>
                <w:tcPr>
                  <w:tcW w:w="134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研究生助学金（含国家助学金）</w:t>
                  </w:r>
                </w:p>
              </w:tc>
              <w:tc>
                <w:tcPr>
                  <w:tcW w:w="172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一等12000元/学年；</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二等10800元/学年</w:t>
                  </w:r>
                </w:p>
              </w:tc>
              <w:tc>
                <w:tcPr>
                  <w:tcW w:w="26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档案到校的全日制、全脱产硕士生（委培生除外），覆盖率100%</w:t>
                  </w:r>
                </w:p>
              </w:tc>
              <w:tc>
                <w:tcPr>
                  <w:tcW w:w="16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所有专业</w:t>
                  </w:r>
                </w:p>
              </w:tc>
              <w:tc>
                <w:tcPr>
                  <w:tcW w:w="2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按学校文件规定评选，按月发放。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34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研究生学业奖学金</w:t>
                  </w:r>
                </w:p>
              </w:tc>
              <w:tc>
                <w:tcPr>
                  <w:tcW w:w="172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8000元/学年</w:t>
                  </w:r>
                </w:p>
              </w:tc>
              <w:tc>
                <w:tcPr>
                  <w:tcW w:w="26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全体在校生可参评，覆盖率40%</w:t>
                  </w:r>
                </w:p>
              </w:tc>
              <w:tc>
                <w:tcPr>
                  <w:tcW w:w="16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所有专业</w:t>
                  </w:r>
                </w:p>
              </w:tc>
              <w:tc>
                <w:tcPr>
                  <w:tcW w:w="22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按国家和学校规定执行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34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研究生国家奖学金</w:t>
                  </w:r>
                </w:p>
              </w:tc>
              <w:tc>
                <w:tcPr>
                  <w:tcW w:w="172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20000元/学年</w:t>
                  </w:r>
                </w:p>
              </w:tc>
              <w:tc>
                <w:tcPr>
                  <w:tcW w:w="265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全体在校生可参评，覆盖率约5%</w:t>
                  </w:r>
                </w:p>
              </w:tc>
              <w:tc>
                <w:tcPr>
                  <w:tcW w:w="166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所有专业</w:t>
                  </w:r>
                </w:p>
              </w:tc>
              <w:tc>
                <w:tcPr>
                  <w:tcW w:w="224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按国家和学校规定执行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628" w:type="dxa"/>
                  <w:gridSpan w:val="5"/>
                  <w:tcBorders>
                    <w:top w:val="nil"/>
                    <w:left w:val="nil"/>
                    <w:bottom w:val="nil"/>
                    <w:right w:val="nil"/>
                  </w:tcBorders>
                  <w:shd w:val="clear"/>
                  <w:tcMar>
                    <w:left w:w="108" w:type="dxa"/>
                    <w:right w:w="108"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4"/>
                      <w:szCs w:val="24"/>
                      <w:lang w:val="en-US" w:eastAsia="zh-CN" w:bidi="ar"/>
                    </w:rPr>
                    <w:t>注：若研究生在读期间退学（含自动退学或勒令退学）的，须返还所有获得学校资助的奖助学金。</w:t>
                  </w:r>
                </w:p>
              </w:tc>
            </w:tr>
          </w:tbl>
          <w:p>
            <w:pPr>
              <w:keepNext w:val="0"/>
              <w:keepLines w:val="0"/>
              <w:widowControl/>
              <w:suppressLineNumbers w:val="0"/>
              <w:spacing w:before="0" w:beforeAutospacing="0" w:after="0" w:afterAutospacing="0" w:line="400" w:lineRule="atLeast"/>
              <w:ind w:left="0" w:right="0" w:firstLine="482"/>
              <w:jc w:val="left"/>
            </w:pPr>
            <w:r>
              <w:rPr>
                <w:rFonts w:hint="eastAsia" w:ascii="宋体" w:hAnsi="宋体" w:eastAsia="宋体" w:cs="宋体"/>
                <w:b/>
                <w:i w:val="0"/>
                <w:caps w:val="0"/>
                <w:color w:val="000000"/>
                <w:spacing w:val="0"/>
                <w:kern w:val="0"/>
                <w:sz w:val="24"/>
                <w:szCs w:val="24"/>
                <w:lang w:val="en-US" w:eastAsia="zh-CN" w:bidi="ar"/>
              </w:rPr>
              <w:t>（二）、学院奖助</w:t>
            </w:r>
            <w:r>
              <w:rPr>
                <w:rFonts w:hint="eastAsia" w:ascii="宋体" w:hAnsi="宋体" w:eastAsia="宋体" w:cs="宋体"/>
                <w:i w:val="0"/>
                <w:caps w:val="0"/>
                <w:color w:val="000000"/>
                <w:spacing w:val="0"/>
                <w:kern w:val="0"/>
                <w:sz w:val="24"/>
                <w:szCs w:val="24"/>
                <w:lang w:val="en-US" w:eastAsia="zh-CN" w:bidi="ar"/>
              </w:rPr>
              <w:t>（委培生除外）：</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农业经济管理专业由导师发放科研津贴每生100元/月，每年按10个月发放。</w:t>
            </w:r>
          </w:p>
          <w:p>
            <w:pPr>
              <w:keepNext w:val="0"/>
              <w:keepLines w:val="0"/>
              <w:widowControl/>
              <w:suppressLineNumbers w:val="0"/>
              <w:spacing w:before="0" w:beforeAutospacing="0" w:after="0" w:afterAutospacing="0" w:line="400" w:lineRule="atLeast"/>
              <w:ind w:left="0" w:right="0" w:firstLine="482"/>
              <w:jc w:val="left"/>
            </w:pPr>
            <w:r>
              <w:rPr>
                <w:rFonts w:hint="eastAsia" w:ascii="宋体" w:hAnsi="宋体" w:eastAsia="宋体" w:cs="宋体"/>
                <w:b/>
                <w:i w:val="0"/>
                <w:caps w:val="0"/>
                <w:color w:val="000000"/>
                <w:spacing w:val="0"/>
                <w:kern w:val="0"/>
                <w:sz w:val="24"/>
                <w:szCs w:val="24"/>
                <w:lang w:val="en-US" w:eastAsia="zh-CN" w:bidi="ar"/>
              </w:rPr>
              <w:t>（三）、勤工俭学、社会资助和助学贷款</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①、研究生“三助一辅”岗位津贴：400－800元/生.月。学校每学年提供助管、助研、助教和辅导员助理岗位，基本满足研究生需求；与湛江市委组织部合作每年选派研究生到湛江市相关单位部门挂职锻炼，学校和挂职单位均发给足额补助。</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②、社会奖学金：3000元/生.年。目前学校设立的社会奖学金分别有中水奖学金覆盖管理类专业研究生。</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③、国家助学贷款：学校协助家庭经济困难学生向银行申请国家助学贷款。</w:t>
            </w:r>
          </w:p>
          <w:p>
            <w:pPr>
              <w:keepNext w:val="0"/>
              <w:keepLines w:val="0"/>
              <w:widowControl/>
              <w:suppressLineNumbers w:val="0"/>
              <w:spacing w:before="156" w:beforeAutospacing="0" w:after="156" w:afterAutospacing="0" w:line="400" w:lineRule="atLeast"/>
              <w:ind w:left="0" w:right="0" w:firstLine="472"/>
              <w:jc w:val="left"/>
            </w:pPr>
            <w:r>
              <w:rPr>
                <w:rFonts w:hint="eastAsia" w:ascii="宋体" w:hAnsi="宋体" w:eastAsia="宋体" w:cs="宋体"/>
                <w:b/>
                <w:i w:val="0"/>
                <w:caps w:val="0"/>
                <w:color w:val="000000"/>
                <w:spacing w:val="0"/>
                <w:kern w:val="0"/>
                <w:sz w:val="24"/>
                <w:szCs w:val="24"/>
                <w:lang w:val="en-US" w:eastAsia="zh-CN" w:bidi="ar"/>
              </w:rPr>
              <w:t>二、接受调剂专业</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1、我院今年以下学术型专业可以接受调剂生：</w:t>
            </w:r>
          </w:p>
          <w:p>
            <w:pPr>
              <w:keepNext w:val="0"/>
              <w:keepLines w:val="0"/>
              <w:widowControl/>
              <w:suppressLineNumbers w:val="0"/>
              <w:spacing w:before="0" w:beforeAutospacing="0" w:after="0" w:afterAutospacing="0" w:line="400" w:lineRule="atLeast"/>
              <w:ind w:left="0" w:right="0" w:firstLine="482"/>
              <w:jc w:val="left"/>
            </w:pPr>
            <w:r>
              <w:rPr>
                <w:rFonts w:hint="eastAsia" w:ascii="宋体" w:hAnsi="宋体" w:eastAsia="宋体" w:cs="宋体"/>
                <w:b/>
                <w:i w:val="0"/>
                <w:caps w:val="0"/>
                <w:color w:val="000000"/>
                <w:spacing w:val="0"/>
                <w:kern w:val="0"/>
                <w:sz w:val="24"/>
                <w:szCs w:val="24"/>
                <w:lang w:val="en-US" w:eastAsia="zh-CN" w:bidi="ar"/>
              </w:rPr>
              <w:t>农业经济管理（120301）、行政管理（120401）</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2、以下农业硕士领域接受调剂：</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b/>
                <w:i w:val="0"/>
                <w:caps w:val="0"/>
                <w:color w:val="000000"/>
                <w:spacing w:val="0"/>
                <w:kern w:val="0"/>
                <w:sz w:val="24"/>
                <w:szCs w:val="24"/>
                <w:lang w:val="en-US" w:eastAsia="zh-CN" w:bidi="ar"/>
              </w:rPr>
              <w:t>农村与区域发展（095110）</w:t>
            </w:r>
          </w:p>
          <w:p>
            <w:pPr>
              <w:keepNext w:val="0"/>
              <w:keepLines w:val="0"/>
              <w:widowControl/>
              <w:suppressLineNumbers w:val="0"/>
              <w:spacing w:before="156" w:beforeAutospacing="0" w:after="156" w:afterAutospacing="0" w:line="400" w:lineRule="atLeast"/>
              <w:ind w:left="0" w:right="0" w:firstLine="472"/>
              <w:jc w:val="left"/>
            </w:pPr>
            <w:r>
              <w:rPr>
                <w:rFonts w:hint="eastAsia" w:ascii="宋体" w:hAnsi="宋体" w:eastAsia="宋体" w:cs="宋体"/>
                <w:b/>
                <w:i w:val="0"/>
                <w:caps w:val="0"/>
                <w:color w:val="000000"/>
                <w:spacing w:val="0"/>
                <w:kern w:val="0"/>
                <w:sz w:val="24"/>
                <w:szCs w:val="24"/>
                <w:lang w:val="en-US" w:eastAsia="zh-CN" w:bidi="ar"/>
              </w:rPr>
              <w:t>三、收费标准</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学术型、专业学位型全日制硕士研究生收费标准均是6000元/学年。</w:t>
            </w:r>
          </w:p>
          <w:p>
            <w:pPr>
              <w:keepNext w:val="0"/>
              <w:keepLines w:val="0"/>
              <w:widowControl/>
              <w:suppressLineNumbers w:val="0"/>
              <w:spacing w:before="156" w:beforeAutospacing="0" w:after="156" w:afterAutospacing="0" w:line="400" w:lineRule="atLeast"/>
              <w:ind w:left="0" w:right="0" w:firstLine="472"/>
              <w:jc w:val="left"/>
            </w:pPr>
            <w:r>
              <w:rPr>
                <w:rFonts w:hint="eastAsia" w:ascii="宋体" w:hAnsi="宋体" w:eastAsia="宋体" w:cs="宋体"/>
                <w:b/>
                <w:i w:val="0"/>
                <w:caps w:val="0"/>
                <w:color w:val="000000"/>
                <w:spacing w:val="0"/>
                <w:kern w:val="0"/>
                <w:sz w:val="24"/>
                <w:szCs w:val="24"/>
                <w:lang w:val="en-US" w:eastAsia="zh-CN" w:bidi="ar"/>
              </w:rPr>
              <w:t>四、调剂原则</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1.调剂考生初试成绩必须达到所报考专业的国家一区分数线。</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2.原则上只接收相同专业或相近专业的考生。</w:t>
            </w:r>
          </w:p>
          <w:p>
            <w:pPr>
              <w:keepNext w:val="0"/>
              <w:keepLines w:val="0"/>
              <w:widowControl/>
              <w:suppressLineNumbers w:val="0"/>
              <w:spacing w:before="156" w:beforeAutospacing="0" w:after="156" w:afterAutospacing="0" w:line="400" w:lineRule="atLeast"/>
              <w:ind w:left="0" w:right="0" w:firstLine="472"/>
              <w:jc w:val="left"/>
            </w:pPr>
            <w:r>
              <w:rPr>
                <w:rFonts w:hint="eastAsia" w:ascii="宋体" w:hAnsi="宋体" w:eastAsia="宋体" w:cs="宋体"/>
                <w:b/>
                <w:i w:val="0"/>
                <w:caps w:val="0"/>
                <w:color w:val="000000"/>
                <w:spacing w:val="0"/>
                <w:kern w:val="0"/>
                <w:sz w:val="24"/>
                <w:szCs w:val="24"/>
                <w:lang w:val="en-US" w:eastAsia="zh-CN" w:bidi="ar"/>
              </w:rPr>
              <w:t>五、调剂程序</w:t>
            </w:r>
          </w:p>
          <w:p>
            <w:pPr>
              <w:keepNext w:val="0"/>
              <w:keepLines w:val="0"/>
              <w:widowControl/>
              <w:suppressLineNumbers w:val="0"/>
              <w:wordWrap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1.在中国研究生招生信息网调剂系统尚未开通之前，考生可以先登陆我校研究生处主页（http://yjs.gdou.edu.cn/main/default/index.aspx）查阅调剂信息，点击附件下载“广东海洋大学接收调剂硕士生申请表”（本通知下方附件下载），填写后发送到Longzhijun812@126.com或研究生处邮箱gdouyjs@163.com。</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2.在中国研究生招生信息网调剂系统开通之后，考生须尽快登陆“中国研究生招生信息网”的网上调剂系统 （公网网址：http://yz.chsi.com.cn ，教育网网址：http://yz.chsi.cn）填写“广东海洋大学”为第一志愿并确认。我们将根据调剂考生填报志愿的先后顺序确定复试资格，额满为止。复试时间拟定为3月底。</w:t>
            </w:r>
          </w:p>
          <w:p>
            <w:pPr>
              <w:keepNext w:val="0"/>
              <w:keepLines w:val="0"/>
              <w:widowControl/>
              <w:suppressLineNumbers w:val="0"/>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lang w:val="en-US" w:eastAsia="zh-CN" w:bidi="ar"/>
              </w:rPr>
              <w:t>3.确认参加复试的考生调剂复试流程：提交调剂申请——同意复试——报到——复试——拟录取。</w:t>
            </w:r>
          </w:p>
          <w:p>
            <w:pPr>
              <w:keepNext w:val="0"/>
              <w:keepLines w:val="0"/>
              <w:widowControl/>
              <w:suppressLineNumbers w:val="0"/>
              <w:shd w:val="clear" w:fill="FFFFFF"/>
              <w:spacing w:before="0" w:beforeAutospacing="0" w:after="0" w:afterAutospacing="0" w:line="400" w:lineRule="atLeast"/>
              <w:ind w:left="0" w:right="0" w:firstLine="480"/>
              <w:jc w:val="left"/>
            </w:pPr>
            <w:r>
              <w:rPr>
                <w:rFonts w:hint="eastAsia" w:ascii="宋体" w:hAnsi="宋体" w:eastAsia="宋体" w:cs="宋体"/>
                <w:i w:val="0"/>
                <w:caps w:val="0"/>
                <w:color w:val="000000"/>
                <w:spacing w:val="0"/>
                <w:kern w:val="0"/>
                <w:sz w:val="24"/>
                <w:szCs w:val="24"/>
                <w:shd w:val="clear" w:fill="FFFFFF"/>
                <w:lang w:val="en-US" w:eastAsia="zh-CN" w:bidi="ar"/>
              </w:rPr>
              <w:t>4.有意调剂到我校的考生，在办理调剂的同时请提前做好复试准备。复试的笔试科目为</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917"/>
              <w:gridCol w:w="2690"/>
              <w:gridCol w:w="27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0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学科专业（代码）</w:t>
                  </w:r>
                </w:p>
              </w:tc>
              <w:tc>
                <w:tcPr>
                  <w:tcW w:w="32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复试科目</w:t>
                  </w:r>
                </w:p>
              </w:tc>
              <w:tc>
                <w:tcPr>
                  <w:tcW w:w="32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同等学力加试科目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农业经济管理</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（120301）</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527管理学</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①029统计学原理</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②030现代企业管理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行政管理</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（120401）</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528政治学</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①031组织行为学</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②032社会学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05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农村与区域发展（095110）</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530区域经济学</w:t>
                  </w:r>
                </w:p>
              </w:tc>
              <w:tc>
                <w:tcPr>
                  <w:tcW w:w="3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①029统计学原理</w:t>
                  </w:r>
                </w:p>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②030现代企业管理</w:t>
                  </w:r>
                </w:p>
              </w:tc>
            </w:tr>
          </w:tbl>
          <w:p>
            <w:pPr>
              <w:keepNext w:val="0"/>
              <w:keepLines w:val="0"/>
              <w:widowControl/>
              <w:suppressLineNumbers w:val="0"/>
              <w:shd w:val="clear" w:fill="FFFFFF"/>
              <w:spacing w:before="0" w:beforeAutospacing="0" w:after="0" w:afterAutospacing="0" w:line="400" w:lineRule="atLeast"/>
              <w:ind w:left="0" w:right="0" w:firstLine="420"/>
              <w:jc w:val="left"/>
            </w:pPr>
            <w:r>
              <w:rPr>
                <w:rFonts w:hint="eastAsia" w:ascii="宋体" w:hAnsi="宋体" w:eastAsia="宋体" w:cs="宋体"/>
                <w:i w:val="0"/>
                <w:caps w:val="0"/>
                <w:color w:val="000000"/>
                <w:spacing w:val="0"/>
                <w:kern w:val="0"/>
                <w:sz w:val="24"/>
                <w:szCs w:val="24"/>
                <w:shd w:val="clear" w:fill="FFFFFF"/>
                <w:lang w:val="en-US" w:eastAsia="zh-CN" w:bidi="ar"/>
              </w:rPr>
              <w:t>详见我校2016年硕士研究生招生简章。网址：</w:t>
            </w:r>
            <w:r>
              <w:rPr>
                <w:rStyle w:val="4"/>
                <w:rFonts w:hint="eastAsia" w:ascii="宋体" w:hAnsi="宋体" w:eastAsia="宋体" w:cs="宋体"/>
                <w:i w:val="0"/>
                <w:caps w:val="0"/>
                <w:color w:val="333333"/>
                <w:spacing w:val="0"/>
                <w:kern w:val="0"/>
                <w:sz w:val="24"/>
                <w:szCs w:val="24"/>
                <w:u w:val="none"/>
                <w:shd w:val="clear" w:fill="FFFFFF"/>
                <w:lang w:val="en-US" w:eastAsia="zh-CN" w:bidi="ar"/>
              </w:rPr>
              <w:fldChar w:fldCharType="begin"/>
            </w:r>
            <w:r>
              <w:rPr>
                <w:rStyle w:val="4"/>
                <w:rFonts w:hint="eastAsia" w:ascii="宋体" w:hAnsi="宋体" w:eastAsia="宋体" w:cs="宋体"/>
                <w:i w:val="0"/>
                <w:caps w:val="0"/>
                <w:color w:val="333333"/>
                <w:spacing w:val="0"/>
                <w:kern w:val="0"/>
                <w:sz w:val="24"/>
                <w:szCs w:val="24"/>
                <w:u w:val="none"/>
                <w:shd w:val="clear" w:fill="FFFFFF"/>
                <w:lang w:val="en-US" w:eastAsia="zh-CN" w:bidi="ar"/>
              </w:rPr>
              <w:instrText xml:space="preserve"> HYPERLINK "http://yjs.gdou.edu.cn/main/news/News.aspx?fid=26&amp;pId=10&amp;no=428d72e4-2663-474d-9151-3d700e78b207" </w:instrText>
            </w:r>
            <w:r>
              <w:rPr>
                <w:rStyle w:val="4"/>
                <w:rFonts w:hint="eastAsia" w:ascii="宋体" w:hAnsi="宋体" w:eastAsia="宋体" w:cs="宋体"/>
                <w:i w:val="0"/>
                <w:caps w:val="0"/>
                <w:color w:val="333333"/>
                <w:spacing w:val="0"/>
                <w:kern w:val="0"/>
                <w:sz w:val="24"/>
                <w:szCs w:val="24"/>
                <w:u w:val="none"/>
                <w:shd w:val="clear" w:fill="FFFFFF"/>
                <w:lang w:val="en-US" w:eastAsia="zh-CN" w:bidi="ar"/>
              </w:rPr>
              <w:fldChar w:fldCharType="separate"/>
            </w:r>
            <w:r>
              <w:rPr>
                <w:rStyle w:val="5"/>
                <w:rFonts w:hint="eastAsia" w:ascii="宋体" w:hAnsi="宋体" w:eastAsia="宋体" w:cs="宋体"/>
                <w:i w:val="0"/>
                <w:caps w:val="0"/>
                <w:color w:val="333333"/>
                <w:spacing w:val="0"/>
                <w:sz w:val="24"/>
                <w:szCs w:val="24"/>
                <w:u w:val="none"/>
                <w:shd w:val="clear" w:fill="FFFFFF"/>
                <w:lang w:val="en-US"/>
              </w:rPr>
              <w:t>http://yjs.gdou.edu.cn/main/news/News.aspx?fid=26&amp;pId=10&amp;no=428d72e4-2663-474d-9151-3d700e78b207</w:t>
            </w:r>
            <w:r>
              <w:rPr>
                <w:rStyle w:val="4"/>
                <w:rFonts w:hint="eastAsia" w:ascii="宋体" w:hAnsi="宋体" w:eastAsia="宋体" w:cs="宋体"/>
                <w:i w:val="0"/>
                <w:caps w:val="0"/>
                <w:color w:val="333333"/>
                <w:spacing w:val="0"/>
                <w:kern w:val="0"/>
                <w:sz w:val="24"/>
                <w:szCs w:val="24"/>
                <w:u w:val="none"/>
                <w:shd w:val="clear" w:fill="FFFFFF"/>
                <w:lang w:val="en-US" w:eastAsia="zh-CN" w:bidi="ar"/>
              </w:rPr>
              <w:fldChar w:fldCharType="end"/>
            </w:r>
          </w:p>
          <w:p>
            <w:pPr>
              <w:keepNext w:val="0"/>
              <w:keepLines w:val="0"/>
              <w:widowControl/>
              <w:suppressLineNumbers w:val="0"/>
              <w:spacing w:before="156" w:beforeAutospacing="0" w:after="156" w:afterAutospacing="0" w:line="400" w:lineRule="atLeast"/>
              <w:ind w:left="0" w:right="0" w:firstLine="472"/>
              <w:jc w:val="left"/>
            </w:pPr>
            <w:r>
              <w:rPr>
                <w:rFonts w:hint="eastAsia" w:ascii="宋体" w:hAnsi="宋体" w:eastAsia="宋体" w:cs="宋体"/>
                <w:b/>
                <w:i w:val="0"/>
                <w:caps w:val="0"/>
                <w:color w:val="000000"/>
                <w:spacing w:val="0"/>
                <w:kern w:val="0"/>
                <w:sz w:val="24"/>
                <w:szCs w:val="24"/>
                <w:lang w:val="en-US" w:eastAsia="zh-CN" w:bidi="ar"/>
              </w:rPr>
              <w:t>六、联系方式</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497"/>
              <w:gridCol w:w="1040"/>
              <w:gridCol w:w="1809"/>
              <w:gridCol w:w="300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09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部门</w:t>
                  </w:r>
                </w:p>
              </w:tc>
              <w:tc>
                <w:tcPr>
                  <w:tcW w:w="1373"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联系人</w:t>
                  </w:r>
                </w:p>
              </w:tc>
              <w:tc>
                <w:tcPr>
                  <w:tcW w:w="189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联系电话</w:t>
                  </w:r>
                </w:p>
              </w:tc>
              <w:tc>
                <w:tcPr>
                  <w:tcW w:w="315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b/>
                      <w:color w:val="000000"/>
                      <w:kern w:val="0"/>
                      <w:sz w:val="24"/>
                      <w:szCs w:val="24"/>
                      <w:lang w:val="en-US" w:eastAsia="zh-CN" w:bidi="ar"/>
                    </w:rPr>
                    <w:t>电子邮箱</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0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经济管理学院</w:t>
                  </w:r>
                </w:p>
              </w:tc>
              <w:tc>
                <w:tcPr>
                  <w:tcW w:w="13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龙老师</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13590058869</w:t>
                  </w:r>
                </w:p>
              </w:tc>
              <w:tc>
                <w:tcPr>
                  <w:tcW w:w="3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Longzhijun812@126.com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09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研招办</w:t>
                  </w:r>
                </w:p>
              </w:tc>
              <w:tc>
                <w:tcPr>
                  <w:tcW w:w="1373"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赵老师</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0759-2396185</w:t>
                  </w:r>
                </w:p>
              </w:tc>
              <w:tc>
                <w:tcPr>
                  <w:tcW w:w="315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宋体" w:hAnsi="宋体" w:eastAsia="宋体" w:cs="宋体"/>
                      <w:color w:val="000000"/>
                      <w:kern w:val="0"/>
                      <w:sz w:val="24"/>
                      <w:szCs w:val="24"/>
                      <w:lang w:val="en-US" w:eastAsia="zh-CN" w:bidi="ar"/>
                    </w:rPr>
                    <w:t>gdouyjs@163.com</w:t>
                  </w:r>
                </w:p>
              </w:tc>
            </w:tr>
          </w:tbl>
          <w:p>
            <w:pPr>
              <w:keepNext w:val="0"/>
              <w:keepLines w:val="0"/>
              <w:widowControl/>
              <w:suppressLineNumbers w:val="0"/>
              <w:spacing w:before="0" w:beforeAutospacing="0" w:after="0" w:afterAutospacing="0" w:line="400" w:lineRule="atLeast"/>
              <w:ind w:left="548" w:right="0"/>
              <w:jc w:val="left"/>
            </w:pPr>
            <w:r>
              <w:rPr>
                <w:rFonts w:hint="eastAsia" w:ascii="宋体" w:hAnsi="宋体" w:eastAsia="宋体" w:cs="宋体"/>
                <w:b/>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400" w:lineRule="atLeast"/>
              <w:ind w:left="548" w:right="0"/>
              <w:jc w:val="left"/>
            </w:pPr>
            <w:r>
              <w:rPr>
                <w:rFonts w:hint="eastAsia" w:ascii="宋体" w:hAnsi="宋体" w:eastAsia="宋体" w:cs="宋体"/>
                <w:b/>
                <w:i w:val="0"/>
                <w:caps w:val="0"/>
                <w:color w:val="000000"/>
                <w:spacing w:val="0"/>
                <w:kern w:val="0"/>
                <w:sz w:val="24"/>
                <w:szCs w:val="24"/>
                <w:lang w:val="en-US" w:eastAsia="zh-CN" w:bidi="ar"/>
              </w:rPr>
              <w:t>联系地址</w:t>
            </w:r>
            <w:r>
              <w:rPr>
                <w:rFonts w:hint="eastAsia" w:ascii="宋体" w:hAnsi="宋体" w:eastAsia="宋体" w:cs="宋体"/>
                <w:i w:val="0"/>
                <w:caps w:val="0"/>
                <w:color w:val="000000"/>
                <w:spacing w:val="0"/>
                <w:kern w:val="0"/>
                <w:sz w:val="24"/>
                <w:szCs w:val="24"/>
                <w:lang w:val="en-US" w:eastAsia="zh-CN" w:bidi="ar"/>
              </w:rPr>
              <w:t>：广东省湛江市霞山区解放东路40号广东海洋大学研招办</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42E38"/>
    <w:rsid w:val="4664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2020-03-02T08:27:00Z</dcterms:created>
  <dc:creator>yyc18</dc:creator>
  <cp:lastModifiedBy>yyc18</cp:lastModifiedBy>
  <dcterms:modified xsi:type="dcterms:W3CDTF">2020-03-02T08:27:57Z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