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ind w:left="0" w:firstLine="0"/>
        <w:jc w:val="center"/>
        <w:rPr>
          <w:rFonts w:hint="default" w:ascii="Times New Roman" w:hAnsi="Times New Roman" w:cs="Times New Roman"/>
          <w:i w:val="0"/>
          <w:caps w:val="0"/>
          <w:color w:val="333333"/>
          <w:spacing w:val="18"/>
          <w:sz w:val="12"/>
          <w:szCs w:val="12"/>
        </w:rPr>
      </w:pPr>
      <w:bookmarkStart w:id="0" w:name="_GoBack"/>
      <w:r>
        <w:rPr>
          <w:rFonts w:hint="default" w:ascii="Times New Roman" w:hAnsi="Times New Roman" w:cs="Times New Roman"/>
          <w:i w:val="0"/>
          <w:caps w:val="0"/>
          <w:color w:val="333333"/>
          <w:spacing w:val="18"/>
          <w:sz w:val="12"/>
          <w:szCs w:val="12"/>
          <w:shd w:val="clear" w:fill="FFFFFF"/>
        </w:rPr>
        <w:t>2020年滨海农业学院硕士研究生招生预调剂信息（预通知）</w:t>
      </w:r>
    </w:p>
    <w:bookmarkEnd w:id="0"/>
    <w:p>
      <w:pPr>
        <w:pStyle w:val="3"/>
        <w:keepNext w:val="0"/>
        <w:keepLines w:val="0"/>
        <w:widowControl/>
        <w:suppressLineNumbers w:val="0"/>
        <w:shd w:val="clear" w:fill="FFFFFF"/>
        <w:spacing w:line="188" w:lineRule="atLeast"/>
        <w:ind w:left="0" w:firstLine="560"/>
        <w:jc w:val="left"/>
      </w:pPr>
      <w:r>
        <w:rPr>
          <w:rFonts w:hint="eastAsia" w:ascii="宋体" w:hAnsi="宋体" w:eastAsia="宋体" w:cs="宋体"/>
          <w:caps w:val="0"/>
          <w:color w:val="000000"/>
          <w:spacing w:val="18"/>
          <w:sz w:val="12"/>
          <w:szCs w:val="12"/>
          <w:bdr w:val="none" w:color="auto" w:sz="0" w:space="0"/>
          <w:shd w:val="clear" w:fill="FFFFFF"/>
        </w:rPr>
        <w:t>广东海洋大学滨海农业学院具有60多年的办学历史，学院前身是1958年成立的华南农学院湛江分院，为学校组建之初最早成立的二级学院之一。学院现有“作物学”、“畜牧学（畜牧兽医）”两个一级学科硕士点，涵盖了作物遗传育种、动物营养与饲料科学等7个二级学科硕士点以及农艺与种业</w:t>
      </w:r>
      <w:r>
        <w:rPr>
          <w:rFonts w:hint="eastAsia" w:ascii="宋体" w:hAnsi="宋体" w:eastAsia="宋体" w:cs="宋体"/>
          <w:b/>
          <w:caps w:val="0"/>
          <w:color w:val="000000"/>
          <w:spacing w:val="18"/>
          <w:sz w:val="12"/>
          <w:szCs w:val="12"/>
          <w:bdr w:val="none" w:color="auto" w:sz="0" w:space="0"/>
          <w:shd w:val="clear" w:fill="FFFFFF"/>
        </w:rPr>
        <w:t>、</w:t>
      </w:r>
      <w:r>
        <w:rPr>
          <w:rFonts w:hint="eastAsia" w:ascii="宋体" w:hAnsi="宋体" w:eastAsia="宋体" w:cs="宋体"/>
          <w:caps w:val="0"/>
          <w:color w:val="000000"/>
          <w:spacing w:val="18"/>
          <w:sz w:val="12"/>
          <w:szCs w:val="12"/>
          <w:bdr w:val="none" w:color="auto" w:sz="0" w:space="0"/>
          <w:shd w:val="clear" w:fill="FFFFFF"/>
        </w:rPr>
        <w:t>资源利用与植物保护</w:t>
      </w:r>
      <w:r>
        <w:rPr>
          <w:rFonts w:hint="eastAsia" w:ascii="宋体" w:hAnsi="宋体" w:eastAsia="宋体" w:cs="宋体"/>
          <w:b/>
          <w:caps w:val="0"/>
          <w:color w:val="000000"/>
          <w:spacing w:val="18"/>
          <w:sz w:val="12"/>
          <w:szCs w:val="12"/>
          <w:bdr w:val="none" w:color="auto" w:sz="0" w:space="0"/>
          <w:shd w:val="clear" w:fill="FFFFFF"/>
        </w:rPr>
        <w:t>、</w:t>
      </w:r>
      <w:r>
        <w:rPr>
          <w:rFonts w:hint="eastAsia" w:ascii="宋体" w:hAnsi="宋体" w:eastAsia="宋体" w:cs="宋体"/>
          <w:caps w:val="0"/>
          <w:color w:val="000000"/>
          <w:spacing w:val="18"/>
          <w:sz w:val="12"/>
          <w:szCs w:val="12"/>
          <w:bdr w:val="none" w:color="auto" w:sz="0" w:space="0"/>
          <w:shd w:val="clear" w:fill="FFFFFF"/>
        </w:rPr>
        <w:t>畜牧、风景园林等4个专业型硕士学位点领域，已为国内培养了大量的农牧业科技与管理人才，成为促进广东农牧业发展的重要力量。</w:t>
      </w:r>
    </w:p>
    <w:p>
      <w:pPr>
        <w:pStyle w:val="3"/>
        <w:keepNext w:val="0"/>
        <w:keepLines w:val="0"/>
        <w:widowControl/>
        <w:suppressLineNumbers w:val="0"/>
        <w:shd w:val="clear" w:fill="FFFFFF"/>
        <w:spacing w:line="188" w:lineRule="atLeast"/>
        <w:ind w:left="0" w:firstLine="472"/>
        <w:jc w:val="left"/>
      </w:pPr>
      <w:r>
        <w:rPr>
          <w:rFonts w:hint="eastAsia" w:ascii="宋体" w:hAnsi="宋体" w:eastAsia="宋体" w:cs="宋体"/>
          <w:b/>
          <w:caps w:val="0"/>
          <w:color w:val="000000"/>
          <w:spacing w:val="18"/>
          <w:sz w:val="12"/>
          <w:szCs w:val="12"/>
          <w:bdr w:val="none" w:color="auto" w:sz="0" w:space="0"/>
          <w:shd w:val="clear" w:fill="FFFFFF"/>
        </w:rPr>
        <w:t>一、接受调剂专业</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（一）我院以下</w:t>
      </w:r>
      <w:r>
        <w:rPr>
          <w:rFonts w:hint="eastAsia" w:ascii="宋体" w:hAnsi="宋体" w:eastAsia="宋体" w:cs="宋体"/>
          <w:b/>
          <w:caps w:val="0"/>
          <w:color w:val="000000"/>
          <w:spacing w:val="18"/>
          <w:sz w:val="12"/>
          <w:szCs w:val="12"/>
          <w:u w:val="single"/>
          <w:bdr w:val="none" w:color="auto" w:sz="0" w:space="0"/>
          <w:shd w:val="clear" w:fill="FFFFFF"/>
        </w:rPr>
        <w:t>学术型硕士专业</w:t>
      </w:r>
      <w:r>
        <w:rPr>
          <w:rFonts w:hint="eastAsia" w:ascii="宋体" w:hAnsi="宋体" w:eastAsia="宋体" w:cs="宋体"/>
          <w:caps w:val="0"/>
          <w:color w:val="000000"/>
          <w:spacing w:val="18"/>
          <w:sz w:val="12"/>
          <w:szCs w:val="12"/>
          <w:bdr w:val="none" w:color="auto" w:sz="0" w:space="0"/>
          <w:shd w:val="clear" w:fill="FFFFFF"/>
        </w:rPr>
        <w:t>接受调剂生：</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作物遗传育种（090102）、作物栽培学与耕作学（090101）、作物生态学（0901Z1）、热带园艺作物学（0901Z2），动物遗传育种与繁殖（090501）、动物营养与饲料科学（090502）、动物生产学（0905Z1</w:t>
      </w:r>
      <w:r>
        <w:rPr>
          <w:rFonts w:hint="eastAsia" w:ascii="宋体" w:hAnsi="宋体" w:eastAsia="宋体" w:cs="宋体"/>
          <w:caps w:val="0"/>
          <w:color w:val="666666"/>
          <w:spacing w:val="18"/>
          <w:sz w:val="12"/>
          <w:szCs w:val="12"/>
          <w:bdr w:val="none" w:color="auto" w:sz="0" w:space="0"/>
          <w:shd w:val="clear" w:fill="FFFFFF"/>
        </w:rPr>
        <w:t>）。</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666666"/>
          <w:spacing w:val="18"/>
          <w:sz w:val="12"/>
          <w:szCs w:val="12"/>
          <w:bdr w:val="none" w:color="auto" w:sz="0" w:space="0"/>
          <w:shd w:val="clear" w:fill="FFFFFF"/>
        </w:rPr>
        <w:t>（二）</w:t>
      </w:r>
      <w:r>
        <w:rPr>
          <w:rFonts w:hint="eastAsia" w:ascii="宋体" w:hAnsi="宋体" w:eastAsia="宋体" w:cs="宋体"/>
          <w:caps w:val="0"/>
          <w:color w:val="000000"/>
          <w:spacing w:val="18"/>
          <w:sz w:val="12"/>
          <w:szCs w:val="12"/>
          <w:bdr w:val="none" w:color="auto" w:sz="0" w:space="0"/>
          <w:shd w:val="clear" w:fill="FFFFFF"/>
        </w:rPr>
        <w:t>我院以下</w:t>
      </w:r>
      <w:r>
        <w:rPr>
          <w:rFonts w:hint="eastAsia" w:ascii="宋体" w:hAnsi="宋体" w:eastAsia="宋体" w:cs="宋体"/>
          <w:b/>
          <w:caps w:val="0"/>
          <w:color w:val="000000"/>
          <w:spacing w:val="18"/>
          <w:sz w:val="12"/>
          <w:szCs w:val="12"/>
          <w:u w:val="single"/>
          <w:bdr w:val="none" w:color="auto" w:sz="0" w:space="0"/>
          <w:shd w:val="clear" w:fill="FFFFFF"/>
        </w:rPr>
        <w:t>专业型农业硕士专业</w:t>
      </w:r>
      <w:r>
        <w:rPr>
          <w:rFonts w:hint="eastAsia" w:ascii="宋体" w:hAnsi="宋体" w:eastAsia="宋体" w:cs="宋体"/>
          <w:caps w:val="0"/>
          <w:color w:val="000000"/>
          <w:spacing w:val="18"/>
          <w:sz w:val="12"/>
          <w:szCs w:val="12"/>
          <w:bdr w:val="none" w:color="auto" w:sz="0" w:space="0"/>
          <w:shd w:val="clear" w:fill="FFFFFF"/>
        </w:rPr>
        <w:t>接受调剂：</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农艺与种业(095131)、资源利用与植物保护(095132)、畜牧 (095133) 。</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666666"/>
          <w:spacing w:val="18"/>
          <w:sz w:val="12"/>
          <w:szCs w:val="12"/>
          <w:bdr w:val="none" w:color="auto" w:sz="0" w:space="0"/>
          <w:shd w:val="clear" w:fill="FFFFFF"/>
        </w:rPr>
        <w:t>（三）</w:t>
      </w:r>
      <w:r>
        <w:rPr>
          <w:rFonts w:hint="eastAsia" w:ascii="宋体" w:hAnsi="宋体" w:eastAsia="宋体" w:cs="宋体"/>
          <w:caps w:val="0"/>
          <w:color w:val="000000"/>
          <w:spacing w:val="18"/>
          <w:sz w:val="12"/>
          <w:szCs w:val="12"/>
          <w:bdr w:val="none" w:color="auto" w:sz="0" w:space="0"/>
          <w:shd w:val="clear" w:fill="FFFFFF"/>
        </w:rPr>
        <w:t>我院</w:t>
      </w:r>
      <w:r>
        <w:rPr>
          <w:rFonts w:hint="eastAsia" w:ascii="宋体" w:hAnsi="宋体" w:eastAsia="宋体" w:cs="宋体"/>
          <w:b/>
          <w:caps w:val="0"/>
          <w:color w:val="000000"/>
          <w:spacing w:val="18"/>
          <w:sz w:val="12"/>
          <w:szCs w:val="12"/>
          <w:u w:val="single"/>
          <w:bdr w:val="none" w:color="auto" w:sz="0" w:space="0"/>
          <w:shd w:val="clear" w:fill="FFFFFF"/>
        </w:rPr>
        <w:t>风景园林硕士</w:t>
      </w:r>
      <w:r>
        <w:rPr>
          <w:rFonts w:hint="eastAsia" w:ascii="宋体" w:hAnsi="宋体" w:eastAsia="宋体" w:cs="宋体"/>
          <w:caps w:val="0"/>
          <w:color w:val="000000"/>
          <w:spacing w:val="18"/>
          <w:sz w:val="12"/>
          <w:szCs w:val="12"/>
          <w:bdr w:val="none" w:color="auto" w:sz="0" w:space="0"/>
          <w:shd w:val="clear" w:fill="FFFFFF"/>
        </w:rPr>
        <w:t>接受调剂。</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风景园林(095300)。</w:t>
      </w:r>
    </w:p>
    <w:p>
      <w:pPr>
        <w:pStyle w:val="3"/>
        <w:keepNext w:val="0"/>
        <w:keepLines w:val="0"/>
        <w:widowControl/>
        <w:suppressLineNumbers w:val="0"/>
        <w:shd w:val="clear" w:fill="FFFFFF"/>
        <w:spacing w:line="188" w:lineRule="atLeast"/>
        <w:ind w:left="0" w:firstLine="472"/>
        <w:jc w:val="left"/>
      </w:pPr>
      <w:r>
        <w:rPr>
          <w:rFonts w:hint="eastAsia" w:ascii="宋体" w:hAnsi="宋体" w:eastAsia="宋体" w:cs="宋体"/>
          <w:b/>
          <w:caps w:val="0"/>
          <w:color w:val="000000"/>
          <w:spacing w:val="18"/>
          <w:sz w:val="12"/>
          <w:szCs w:val="12"/>
          <w:bdr w:val="none" w:color="auto" w:sz="0" w:space="0"/>
          <w:shd w:val="clear" w:fill="FFFFFF"/>
        </w:rPr>
        <w:t>二、调剂原则</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（一）调剂考生初试成绩（总分和单科最低分）必须达到报考专业所在的学科门类A类考生的国家分数线要求</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（二）原则上只接收相同专业或相近专业的考生。报考学术型专业者可申请调剂到专业学位型，而报考专业学位型者不能调剂到学术型专业。</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（三）原则上不接收同等学力考生。</w:t>
      </w:r>
    </w:p>
    <w:p>
      <w:pPr>
        <w:pStyle w:val="3"/>
        <w:keepNext w:val="0"/>
        <w:keepLines w:val="0"/>
        <w:widowControl/>
        <w:suppressLineNumbers w:val="0"/>
        <w:shd w:val="clear" w:fill="FFFFFF"/>
        <w:spacing w:line="188" w:lineRule="atLeast"/>
        <w:ind w:left="0" w:firstLine="472"/>
        <w:jc w:val="left"/>
      </w:pPr>
      <w:r>
        <w:rPr>
          <w:rFonts w:hint="eastAsia" w:ascii="宋体" w:hAnsi="宋体" w:eastAsia="宋体" w:cs="宋体"/>
          <w:b/>
          <w:caps w:val="0"/>
          <w:color w:val="000000"/>
          <w:spacing w:val="18"/>
          <w:sz w:val="12"/>
          <w:szCs w:val="12"/>
          <w:bdr w:val="none" w:color="auto" w:sz="0" w:space="0"/>
          <w:shd w:val="clear" w:fill="FFFFFF"/>
        </w:rPr>
        <w:t>三、资助政策</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为了吸引更多优秀学子攻读我院研究生，学校及学院加大了对研究生的资助力度，具体资助措施如下：</w:t>
      </w:r>
    </w:p>
    <w:p>
      <w:pPr>
        <w:pStyle w:val="3"/>
        <w:keepNext w:val="0"/>
        <w:keepLines w:val="0"/>
        <w:widowControl/>
        <w:suppressLineNumbers w:val="0"/>
        <w:spacing w:line="188" w:lineRule="atLeast"/>
        <w:ind w:left="0" w:firstLine="640"/>
        <w:jc w:val="left"/>
      </w:pPr>
      <w:r>
        <w:rPr>
          <w:rFonts w:hint="eastAsia" w:ascii="宋体" w:hAnsi="宋体" w:eastAsia="宋体" w:cs="宋体"/>
          <w:b/>
          <w:caps w:val="0"/>
          <w:color w:val="000000"/>
          <w:spacing w:val="18"/>
          <w:sz w:val="12"/>
          <w:szCs w:val="12"/>
          <w:bdr w:val="none" w:color="auto" w:sz="0" w:space="0"/>
          <w:shd w:val="clear" w:fill="FFFFFF"/>
        </w:rPr>
        <w:t>（一）学校奖助</w:t>
      </w:r>
      <w:r>
        <w:rPr>
          <w:rFonts w:hint="eastAsia" w:ascii="宋体" w:hAnsi="宋体" w:eastAsia="宋体" w:cs="宋体"/>
          <w:b/>
          <w:caps w:val="0"/>
          <w:color w:val="3366FF"/>
          <w:spacing w:val="18"/>
          <w:sz w:val="12"/>
          <w:szCs w:val="12"/>
          <w:bdr w:val="none" w:color="auto" w:sz="0" w:space="0"/>
          <w:shd w:val="clear" w:fill="FFFFFF"/>
        </w:rPr>
        <w:t>(适用全日制硕士生)</w:t>
      </w:r>
    </w:p>
    <w:tbl>
      <w:tblPr>
        <w:tblW w:w="4395" w:type="dxa"/>
        <w:tblInd w:w="-75"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639"/>
        <w:gridCol w:w="1135"/>
        <w:gridCol w:w="924"/>
        <w:gridCol w:w="169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638"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类型</w:t>
            </w: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标准</w:t>
            </w:r>
          </w:p>
        </w:tc>
        <w:tc>
          <w:tcPr>
            <w:tcW w:w="92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适用对象</w:t>
            </w:r>
          </w:p>
        </w:tc>
        <w:tc>
          <w:tcPr>
            <w:tcW w:w="1695"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备　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c>
          <w:tcPr>
            <w:tcW w:w="638" w:type="dxa"/>
            <w:vMerge w:val="restart"/>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校长奖学金</w:t>
            </w: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color w:val="0000FF"/>
                <w:spacing w:val="13"/>
                <w:sz w:val="12"/>
                <w:szCs w:val="12"/>
                <w:bdr w:val="none" w:color="auto" w:sz="0" w:space="0"/>
              </w:rPr>
              <w:t>6000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tc>
        <w:tc>
          <w:tcPr>
            <w:tcW w:w="92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推免生、第一志愿报读我校</w:t>
            </w:r>
          </w:p>
        </w:tc>
        <w:tc>
          <w:tcPr>
            <w:tcW w:w="1695" w:type="dxa"/>
            <w:vMerge w:val="restart"/>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color w:val="0000FF"/>
                <w:spacing w:val="13"/>
                <w:sz w:val="12"/>
                <w:szCs w:val="12"/>
                <w:bdr w:val="none" w:color="auto" w:sz="0" w:space="0"/>
              </w:rPr>
              <w:t>1)</w:t>
            </w:r>
            <w:r>
              <w:rPr>
                <w:rFonts w:hint="eastAsia" w:ascii="宋体" w:hAnsi="宋体" w:eastAsia="宋体" w:cs="宋体"/>
                <w:color w:val="0000FF"/>
                <w:spacing w:val="13"/>
                <w:sz w:val="12"/>
                <w:szCs w:val="12"/>
                <w:bdr w:val="none" w:color="auto" w:sz="0" w:space="0"/>
              </w:rPr>
              <w:t>被正式录取（不含破格录取生，下同）且个人档案到校的全日制硕士研究生。</w:t>
            </w:r>
          </w:p>
          <w:p>
            <w:pPr>
              <w:pStyle w:val="3"/>
              <w:keepNext w:val="0"/>
              <w:keepLines w:val="0"/>
              <w:widowControl/>
              <w:suppressLineNumbers w:val="0"/>
              <w:jc w:val="left"/>
            </w:pPr>
            <w:r>
              <w:rPr>
                <w:color w:val="0000FF"/>
                <w:spacing w:val="13"/>
                <w:sz w:val="12"/>
                <w:szCs w:val="12"/>
                <w:bdr w:val="none" w:color="auto" w:sz="0" w:space="0"/>
              </w:rPr>
              <w:t>2)</w:t>
            </w:r>
            <w:r>
              <w:rPr>
                <w:rFonts w:hint="eastAsia" w:ascii="宋体" w:hAnsi="宋体" w:eastAsia="宋体" w:cs="宋体"/>
                <w:color w:val="0000FF"/>
                <w:spacing w:val="13"/>
                <w:sz w:val="12"/>
                <w:szCs w:val="12"/>
                <w:bdr w:val="none" w:color="auto" w:sz="0" w:space="0"/>
              </w:rPr>
              <w:t>按时缴清学费后发放。</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vMerge w:val="continue"/>
            <w:tcBorders>
              <w:top w:val="single" w:color="auto" w:sz="8" w:space="0"/>
              <w:left w:val="single" w:color="auto" w:sz="8" w:space="0"/>
              <w:bottom w:val="single" w:color="auto" w:sz="8" w:space="0"/>
              <w:right w:val="single" w:color="auto" w:sz="8" w:space="0"/>
            </w:tcBorders>
            <w:shd w:val="clear"/>
            <w:vAlign w:val="center"/>
          </w:tcPr>
          <w:p>
            <w:pPr>
              <w:rPr>
                <w:rFonts w:hint="eastAsia" w:ascii="宋体"/>
                <w:spacing w:val="13"/>
                <w:sz w:val="9"/>
                <w:szCs w:val="9"/>
              </w:rPr>
            </w:pP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color w:val="0000FF"/>
                <w:spacing w:val="13"/>
                <w:sz w:val="12"/>
                <w:szCs w:val="12"/>
                <w:bdr w:val="none" w:color="auto" w:sz="0" w:space="0"/>
              </w:rPr>
              <w:t>3000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tc>
        <w:tc>
          <w:tcPr>
            <w:tcW w:w="92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其它</w:t>
            </w:r>
          </w:p>
        </w:tc>
        <w:tc>
          <w:tcPr>
            <w:tcW w:w="1695" w:type="dxa"/>
            <w:vMerge w:val="continue"/>
            <w:tcBorders>
              <w:top w:val="single" w:color="auto" w:sz="8" w:space="0"/>
              <w:left w:val="single" w:color="auto" w:sz="8" w:space="0"/>
              <w:bottom w:val="single" w:color="auto" w:sz="8" w:space="0"/>
              <w:right w:val="single" w:color="auto" w:sz="8" w:space="0"/>
            </w:tcBorders>
            <w:shd w:val="clear"/>
            <w:vAlign w:val="center"/>
          </w:tcPr>
          <w:p>
            <w:pPr>
              <w:rPr>
                <w:rFonts w:hint="eastAsia" w:ascii="宋体"/>
                <w:spacing w:val="13"/>
                <w:sz w:val="9"/>
                <w:szCs w:val="9"/>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vMerge w:val="restart"/>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新生特别奖学金</w:t>
            </w: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color w:val="0000FF"/>
                <w:spacing w:val="13"/>
                <w:sz w:val="12"/>
                <w:szCs w:val="12"/>
                <w:bdr w:val="none" w:color="auto" w:sz="0" w:space="0"/>
              </w:rPr>
              <w:t>12000</w:t>
            </w:r>
            <w:r>
              <w:rPr>
                <w:rFonts w:hint="eastAsia" w:ascii="宋体" w:hAnsi="宋体" w:eastAsia="宋体" w:cs="宋体"/>
                <w:color w:val="0000FF"/>
                <w:spacing w:val="13"/>
                <w:sz w:val="12"/>
                <w:szCs w:val="12"/>
                <w:bdr w:val="none" w:color="auto" w:sz="0" w:space="0"/>
              </w:rPr>
              <w:t>元</w:t>
            </w:r>
          </w:p>
        </w:tc>
        <w:tc>
          <w:tcPr>
            <w:tcW w:w="923" w:type="dxa"/>
            <w:tcBorders>
              <w:top w:val="single" w:color="auto" w:sz="8" w:space="0"/>
              <w:left w:val="single" w:color="auto" w:sz="8" w:space="0"/>
              <w:bottom w:val="single" w:color="auto" w:sz="8" w:space="0"/>
              <w:right w:val="single" w:color="auto" w:sz="8" w:space="0"/>
            </w:tcBorders>
            <w:shd w:val="clear"/>
            <w:vAlign w:val="top"/>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推免生、</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双一流</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高校（或</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双一流</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学科）全日制本科毕业第一志愿报读我校</w:t>
            </w:r>
          </w:p>
        </w:tc>
        <w:tc>
          <w:tcPr>
            <w:tcW w:w="1695" w:type="dxa"/>
            <w:vMerge w:val="restart"/>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color w:val="0000FF"/>
                <w:spacing w:val="13"/>
                <w:sz w:val="12"/>
                <w:szCs w:val="12"/>
                <w:bdr w:val="none" w:color="auto" w:sz="0" w:space="0"/>
              </w:rPr>
              <w:t>1)</w:t>
            </w:r>
            <w:r>
              <w:rPr>
                <w:rFonts w:hint="eastAsia" w:ascii="宋体" w:hAnsi="宋体" w:eastAsia="宋体" w:cs="宋体"/>
                <w:color w:val="0000FF"/>
                <w:spacing w:val="13"/>
                <w:sz w:val="12"/>
                <w:szCs w:val="12"/>
                <w:bdr w:val="none" w:color="auto" w:sz="0" w:space="0"/>
              </w:rPr>
              <w:t>被正式录取且个人档案到校的全日制硕士研究生。</w:t>
            </w:r>
          </w:p>
          <w:p>
            <w:pPr>
              <w:pStyle w:val="3"/>
              <w:keepNext w:val="0"/>
              <w:keepLines w:val="0"/>
              <w:widowControl/>
              <w:suppressLineNumbers w:val="0"/>
              <w:jc w:val="left"/>
            </w:pPr>
            <w:r>
              <w:rPr>
                <w:color w:val="0000FF"/>
                <w:spacing w:val="13"/>
                <w:sz w:val="12"/>
                <w:szCs w:val="12"/>
                <w:bdr w:val="none" w:color="auto" w:sz="0" w:space="0"/>
              </w:rPr>
              <w:t>2)</w:t>
            </w:r>
            <w:r>
              <w:rPr>
                <w:rFonts w:hint="eastAsia" w:ascii="宋体" w:hAnsi="宋体" w:eastAsia="宋体" w:cs="宋体"/>
                <w:color w:val="0000FF"/>
                <w:spacing w:val="13"/>
                <w:sz w:val="12"/>
                <w:szCs w:val="12"/>
                <w:bdr w:val="none" w:color="auto" w:sz="0" w:space="0"/>
              </w:rPr>
              <w:t>入学后一次性发放。</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vMerge w:val="continue"/>
            <w:tcBorders>
              <w:top w:val="single" w:color="auto" w:sz="8" w:space="0"/>
              <w:left w:val="single" w:color="auto" w:sz="8" w:space="0"/>
              <w:bottom w:val="single" w:color="auto" w:sz="8" w:space="0"/>
              <w:right w:val="single" w:color="auto" w:sz="8" w:space="0"/>
            </w:tcBorders>
            <w:shd w:val="clear"/>
            <w:vAlign w:val="center"/>
          </w:tcPr>
          <w:p>
            <w:pPr>
              <w:rPr>
                <w:rFonts w:hint="eastAsia" w:ascii="宋体"/>
                <w:spacing w:val="13"/>
                <w:sz w:val="9"/>
                <w:szCs w:val="9"/>
              </w:rPr>
            </w:pP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color w:val="0000FF"/>
                <w:spacing w:val="13"/>
                <w:sz w:val="12"/>
                <w:szCs w:val="12"/>
                <w:bdr w:val="none" w:color="auto" w:sz="0" w:space="0"/>
              </w:rPr>
              <w:t>5000</w:t>
            </w:r>
            <w:r>
              <w:rPr>
                <w:rFonts w:hint="eastAsia" w:ascii="宋体" w:hAnsi="宋体" w:eastAsia="宋体" w:cs="宋体"/>
                <w:color w:val="0000FF"/>
                <w:spacing w:val="13"/>
                <w:sz w:val="12"/>
                <w:szCs w:val="12"/>
                <w:bdr w:val="none" w:color="auto" w:sz="0" w:space="0"/>
              </w:rPr>
              <w:t>元</w:t>
            </w:r>
          </w:p>
        </w:tc>
        <w:tc>
          <w:tcPr>
            <w:tcW w:w="923" w:type="dxa"/>
            <w:tcBorders>
              <w:top w:val="single" w:color="auto" w:sz="8" w:space="0"/>
              <w:left w:val="single" w:color="auto" w:sz="8" w:space="0"/>
              <w:bottom w:val="single" w:color="auto" w:sz="8" w:space="0"/>
              <w:right w:val="single" w:color="auto" w:sz="8" w:space="0"/>
            </w:tcBorders>
            <w:shd w:val="clear"/>
            <w:vAlign w:val="top"/>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本校全日制本科毕业第一志愿报读我校</w:t>
            </w:r>
          </w:p>
        </w:tc>
        <w:tc>
          <w:tcPr>
            <w:tcW w:w="1695" w:type="dxa"/>
            <w:vMerge w:val="continue"/>
            <w:tcBorders>
              <w:top w:val="single" w:color="auto" w:sz="8" w:space="0"/>
              <w:left w:val="single" w:color="auto" w:sz="8" w:space="0"/>
              <w:bottom w:val="single" w:color="auto" w:sz="8" w:space="0"/>
              <w:right w:val="single" w:color="auto" w:sz="8" w:space="0"/>
            </w:tcBorders>
            <w:shd w:val="clear"/>
            <w:vAlign w:val="center"/>
          </w:tcPr>
          <w:p>
            <w:pPr>
              <w:rPr>
                <w:rFonts w:hint="eastAsia" w:ascii="宋体"/>
                <w:spacing w:val="13"/>
                <w:sz w:val="9"/>
                <w:szCs w:val="9"/>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研究生助学金</w:t>
            </w: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color w:val="0000FF"/>
                <w:spacing w:val="13"/>
                <w:sz w:val="12"/>
                <w:szCs w:val="12"/>
                <w:bdr w:val="none" w:color="auto" w:sz="0" w:space="0"/>
              </w:rPr>
              <w:t>10000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tc>
        <w:tc>
          <w:tcPr>
            <w:tcW w:w="92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档案到校的全日制硕士生，覆盖率</w:t>
            </w:r>
            <w:r>
              <w:rPr>
                <w:color w:val="0000FF"/>
                <w:spacing w:val="13"/>
                <w:sz w:val="12"/>
                <w:szCs w:val="12"/>
                <w:bdr w:val="none" w:color="auto" w:sz="0" w:space="0"/>
              </w:rPr>
              <w:t>100%</w:t>
            </w:r>
            <w:r>
              <w:rPr>
                <w:rFonts w:hint="eastAsia" w:ascii="宋体" w:hAnsi="宋体" w:eastAsia="宋体" w:cs="宋体"/>
                <w:color w:val="0000FF"/>
                <w:spacing w:val="13"/>
                <w:sz w:val="12"/>
                <w:szCs w:val="12"/>
                <w:bdr w:val="none" w:color="auto" w:sz="0" w:space="0"/>
              </w:rPr>
              <w:t>。</w:t>
            </w:r>
          </w:p>
        </w:tc>
        <w:tc>
          <w:tcPr>
            <w:tcW w:w="1695"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按月发放，每年按</w:t>
            </w:r>
            <w:r>
              <w:rPr>
                <w:color w:val="0000FF"/>
                <w:spacing w:val="13"/>
                <w:sz w:val="12"/>
                <w:szCs w:val="12"/>
                <w:bdr w:val="none" w:color="auto" w:sz="0" w:space="0"/>
              </w:rPr>
              <w:t>10</w:t>
            </w:r>
            <w:r>
              <w:rPr>
                <w:rFonts w:hint="eastAsia" w:ascii="宋体" w:hAnsi="宋体" w:eastAsia="宋体" w:cs="宋体"/>
                <w:color w:val="0000FF"/>
                <w:spacing w:val="13"/>
                <w:sz w:val="12"/>
                <w:szCs w:val="12"/>
                <w:bdr w:val="none" w:color="auto" w:sz="0" w:space="0"/>
              </w:rPr>
              <w:t>个月发放。其中，国家资助</w:t>
            </w:r>
            <w:r>
              <w:rPr>
                <w:color w:val="0000FF"/>
                <w:spacing w:val="13"/>
                <w:sz w:val="12"/>
                <w:szCs w:val="12"/>
                <w:bdr w:val="none" w:color="auto" w:sz="0" w:space="0"/>
              </w:rPr>
              <w:t>6000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学年，学校资助</w:t>
            </w:r>
            <w:r>
              <w:rPr>
                <w:color w:val="0000FF"/>
                <w:spacing w:val="13"/>
                <w:sz w:val="12"/>
                <w:szCs w:val="12"/>
                <w:bdr w:val="none" w:color="auto" w:sz="0" w:space="0"/>
              </w:rPr>
              <w:t>4000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研究生学业奖学金</w:t>
            </w: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一等：</w:t>
            </w:r>
            <w:r>
              <w:rPr>
                <w:color w:val="0000FF"/>
                <w:spacing w:val="13"/>
                <w:sz w:val="12"/>
                <w:szCs w:val="12"/>
                <w:bdr w:val="none" w:color="auto" w:sz="0" w:space="0"/>
              </w:rPr>
              <w:t>12000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p>
            <w:pPr>
              <w:pStyle w:val="3"/>
              <w:keepNext w:val="0"/>
              <w:keepLines w:val="0"/>
              <w:widowControl/>
              <w:suppressLineNumbers w:val="0"/>
              <w:jc w:val="left"/>
            </w:pPr>
            <w:r>
              <w:rPr>
                <w:spacing w:val="13"/>
                <w:sz w:val="12"/>
                <w:szCs w:val="12"/>
                <w:bdr w:val="none" w:color="auto" w:sz="0" w:space="0"/>
              </w:rPr>
              <w:t> </w:t>
            </w:r>
          </w:p>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二等：</w:t>
            </w:r>
            <w:r>
              <w:rPr>
                <w:color w:val="0000FF"/>
                <w:spacing w:val="13"/>
                <w:sz w:val="12"/>
                <w:szCs w:val="12"/>
                <w:bdr w:val="none" w:color="auto" w:sz="0" w:space="0"/>
              </w:rPr>
              <w:t>8000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p>
            <w:pPr>
              <w:pStyle w:val="3"/>
              <w:keepNext w:val="0"/>
              <w:keepLines w:val="0"/>
              <w:widowControl/>
              <w:suppressLineNumbers w:val="0"/>
              <w:jc w:val="center"/>
            </w:pPr>
            <w:r>
              <w:rPr>
                <w:spacing w:val="13"/>
                <w:sz w:val="12"/>
                <w:szCs w:val="12"/>
                <w:bdr w:val="none" w:color="auto" w:sz="0" w:space="0"/>
              </w:rPr>
              <w:t> </w:t>
            </w:r>
          </w:p>
          <w:p>
            <w:pPr>
              <w:pStyle w:val="3"/>
              <w:keepNext w:val="0"/>
              <w:keepLines w:val="0"/>
              <w:widowControl/>
              <w:suppressLineNumbers w:val="0"/>
              <w:jc w:val="center"/>
            </w:pPr>
            <w:r>
              <w:rPr>
                <w:rFonts w:hint="eastAsia" w:ascii="宋体" w:hAnsi="宋体" w:eastAsia="宋体" w:cs="宋体"/>
                <w:color w:val="0000FF"/>
                <w:spacing w:val="13"/>
                <w:sz w:val="12"/>
                <w:szCs w:val="12"/>
                <w:bdr w:val="none" w:color="auto" w:sz="0" w:space="0"/>
              </w:rPr>
              <w:t>三等：</w:t>
            </w:r>
            <w:r>
              <w:rPr>
                <w:color w:val="0000FF"/>
                <w:spacing w:val="13"/>
                <w:sz w:val="12"/>
                <w:szCs w:val="12"/>
                <w:bdr w:val="none" w:color="auto" w:sz="0" w:space="0"/>
              </w:rPr>
              <w:t>2000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tc>
        <w:tc>
          <w:tcPr>
            <w:tcW w:w="92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全日制硕士生，覆盖率</w:t>
            </w:r>
            <w:r>
              <w:rPr>
                <w:color w:val="0000FF"/>
                <w:spacing w:val="13"/>
                <w:sz w:val="12"/>
                <w:szCs w:val="12"/>
                <w:bdr w:val="none" w:color="auto" w:sz="0" w:space="0"/>
              </w:rPr>
              <w:t>100%</w:t>
            </w:r>
            <w:r>
              <w:rPr>
                <w:rFonts w:hint="eastAsia" w:ascii="宋体" w:hAnsi="宋体" w:eastAsia="宋体" w:cs="宋体"/>
                <w:color w:val="0000FF"/>
                <w:spacing w:val="13"/>
                <w:sz w:val="12"/>
                <w:szCs w:val="12"/>
                <w:bdr w:val="none" w:color="auto" w:sz="0" w:space="0"/>
              </w:rPr>
              <w:t>，其中，一等</w:t>
            </w:r>
            <w:r>
              <w:rPr>
                <w:color w:val="0000FF"/>
                <w:spacing w:val="13"/>
                <w:sz w:val="12"/>
                <w:szCs w:val="12"/>
                <w:bdr w:val="none" w:color="auto" w:sz="0" w:space="0"/>
              </w:rPr>
              <w:t>30%</w:t>
            </w:r>
            <w:r>
              <w:rPr>
                <w:rFonts w:hint="eastAsia" w:ascii="宋体" w:hAnsi="宋体" w:eastAsia="宋体" w:cs="宋体"/>
                <w:color w:val="0000FF"/>
                <w:spacing w:val="13"/>
                <w:sz w:val="12"/>
                <w:szCs w:val="12"/>
                <w:bdr w:val="none" w:color="auto" w:sz="0" w:space="0"/>
              </w:rPr>
              <w:t>，二等</w:t>
            </w:r>
            <w:r>
              <w:rPr>
                <w:color w:val="0000FF"/>
                <w:spacing w:val="13"/>
                <w:sz w:val="12"/>
                <w:szCs w:val="12"/>
                <w:bdr w:val="none" w:color="auto" w:sz="0" w:space="0"/>
              </w:rPr>
              <w:t>40%</w:t>
            </w:r>
            <w:r>
              <w:rPr>
                <w:rFonts w:hint="eastAsia" w:ascii="宋体" w:hAnsi="宋体" w:eastAsia="宋体" w:cs="宋体"/>
                <w:color w:val="0000FF"/>
                <w:spacing w:val="13"/>
                <w:sz w:val="12"/>
                <w:szCs w:val="12"/>
                <w:bdr w:val="none" w:color="auto" w:sz="0" w:space="0"/>
              </w:rPr>
              <w:t>，三等</w:t>
            </w:r>
            <w:r>
              <w:rPr>
                <w:color w:val="0000FF"/>
                <w:spacing w:val="13"/>
                <w:sz w:val="12"/>
                <w:szCs w:val="12"/>
                <w:bdr w:val="none" w:color="auto" w:sz="0" w:space="0"/>
              </w:rPr>
              <w:t>30%</w:t>
            </w:r>
          </w:p>
        </w:tc>
        <w:tc>
          <w:tcPr>
            <w:tcW w:w="1695"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发放依据：</w:t>
            </w:r>
            <w:r>
              <w:rPr>
                <w:color w:val="0000FF"/>
                <w:spacing w:val="13"/>
                <w:sz w:val="12"/>
                <w:szCs w:val="12"/>
                <w:bdr w:val="none" w:color="auto" w:sz="0" w:space="0"/>
              </w:rPr>
              <w:t>1)</w:t>
            </w:r>
            <w:r>
              <w:rPr>
                <w:rFonts w:hint="eastAsia" w:ascii="宋体" w:hAnsi="宋体" w:eastAsia="宋体" w:cs="宋体"/>
                <w:color w:val="0000FF"/>
                <w:spacing w:val="13"/>
                <w:sz w:val="12"/>
                <w:szCs w:val="12"/>
                <w:bdr w:val="none" w:color="auto" w:sz="0" w:space="0"/>
              </w:rPr>
              <w:t>一年级根据本科获得奖励情况、入学考试</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初试</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成绩等作为主要评审依据，第一志愿优先。</w:t>
            </w:r>
          </w:p>
          <w:p>
            <w:pPr>
              <w:pStyle w:val="3"/>
              <w:keepNext w:val="0"/>
              <w:keepLines w:val="0"/>
              <w:widowControl/>
              <w:suppressLineNumbers w:val="0"/>
              <w:jc w:val="left"/>
            </w:pPr>
            <w:r>
              <w:rPr>
                <w:color w:val="0000FF"/>
                <w:spacing w:val="13"/>
                <w:sz w:val="12"/>
                <w:szCs w:val="12"/>
                <w:bdr w:val="none" w:color="auto" w:sz="0" w:space="0"/>
              </w:rPr>
              <w:t>2)</w:t>
            </w:r>
            <w:r>
              <w:rPr>
                <w:rFonts w:hint="eastAsia" w:ascii="宋体" w:hAnsi="宋体" w:eastAsia="宋体" w:cs="宋体"/>
                <w:color w:val="0000FF"/>
                <w:spacing w:val="13"/>
                <w:sz w:val="12"/>
                <w:szCs w:val="12"/>
                <w:bdr w:val="none" w:color="auto" w:sz="0" w:space="0"/>
              </w:rPr>
              <w:t>二、三年级按综合测评评定。</w:t>
            </w:r>
          </w:p>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具体评审办法按上级和学校相关文件规定执行。</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638"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研究生国家奖学金</w:t>
            </w:r>
          </w:p>
        </w:tc>
        <w:tc>
          <w:tcPr>
            <w:tcW w:w="113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center"/>
            </w:pPr>
            <w:r>
              <w:rPr>
                <w:color w:val="0000FF"/>
                <w:spacing w:val="13"/>
                <w:sz w:val="12"/>
                <w:szCs w:val="12"/>
                <w:bdr w:val="none" w:color="auto" w:sz="0" w:space="0"/>
              </w:rPr>
              <w:t>20000</w:t>
            </w:r>
            <w:r>
              <w:rPr>
                <w:rFonts w:hint="eastAsia" w:ascii="宋体" w:hAnsi="宋体" w:eastAsia="宋体" w:cs="宋体"/>
                <w:color w:val="0000FF"/>
                <w:spacing w:val="13"/>
                <w:sz w:val="12"/>
                <w:szCs w:val="12"/>
                <w:bdr w:val="none" w:color="auto" w:sz="0" w:space="0"/>
              </w:rPr>
              <w:t>元</w:t>
            </w:r>
            <w:r>
              <w:rPr>
                <w:color w:val="0000FF"/>
                <w:spacing w:val="13"/>
                <w:sz w:val="12"/>
                <w:szCs w:val="12"/>
                <w:bdr w:val="none" w:color="auto" w:sz="0" w:space="0"/>
              </w:rPr>
              <w:t>/</w:t>
            </w:r>
            <w:r>
              <w:rPr>
                <w:rFonts w:hint="eastAsia" w:ascii="宋体" w:hAnsi="宋体" w:eastAsia="宋体" w:cs="宋体"/>
                <w:color w:val="0000FF"/>
                <w:spacing w:val="13"/>
                <w:sz w:val="12"/>
                <w:szCs w:val="12"/>
                <w:bdr w:val="none" w:color="auto" w:sz="0" w:space="0"/>
              </w:rPr>
              <w:t>学年</w:t>
            </w:r>
          </w:p>
        </w:tc>
        <w:tc>
          <w:tcPr>
            <w:tcW w:w="923"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全日制硕士生，覆盖率约</w:t>
            </w:r>
            <w:r>
              <w:rPr>
                <w:color w:val="0000FF"/>
                <w:spacing w:val="13"/>
                <w:sz w:val="12"/>
                <w:szCs w:val="12"/>
                <w:bdr w:val="none" w:color="auto" w:sz="0" w:space="0"/>
              </w:rPr>
              <w:t>5%</w:t>
            </w:r>
          </w:p>
        </w:tc>
        <w:tc>
          <w:tcPr>
            <w:tcW w:w="1695" w:type="dxa"/>
            <w:tcBorders>
              <w:top w:val="single" w:color="auto" w:sz="8" w:space="0"/>
              <w:left w:val="single" w:color="auto" w:sz="8" w:space="0"/>
              <w:bottom w:val="single" w:color="auto" w:sz="8" w:space="0"/>
              <w:right w:val="single" w:color="auto" w:sz="8" w:space="0"/>
            </w:tcBorders>
            <w:shd w:val="clear"/>
            <w:vAlign w:val="center"/>
          </w:tcPr>
          <w:p>
            <w:pPr>
              <w:pStyle w:val="3"/>
              <w:keepNext w:val="0"/>
              <w:keepLines w:val="0"/>
              <w:widowControl/>
              <w:suppressLineNumbers w:val="0"/>
              <w:jc w:val="left"/>
            </w:pPr>
            <w:r>
              <w:rPr>
                <w:rFonts w:hint="eastAsia" w:ascii="宋体" w:hAnsi="宋体" w:eastAsia="宋体" w:cs="宋体"/>
                <w:color w:val="0000FF"/>
                <w:spacing w:val="13"/>
                <w:sz w:val="12"/>
                <w:szCs w:val="12"/>
                <w:bdr w:val="none" w:color="auto" w:sz="0" w:space="0"/>
              </w:rPr>
              <w:t>按国家和学校规定执行。</w:t>
            </w:r>
          </w:p>
        </w:tc>
      </w:tr>
    </w:tbl>
    <w:p>
      <w:pPr>
        <w:pStyle w:val="3"/>
        <w:keepNext w:val="0"/>
        <w:keepLines w:val="0"/>
        <w:widowControl/>
        <w:suppressLineNumbers w:val="0"/>
        <w:shd w:val="clear" w:fill="FFFFFF"/>
        <w:spacing w:line="188" w:lineRule="atLeast"/>
        <w:ind w:left="0" w:firstLine="413"/>
        <w:jc w:val="left"/>
      </w:pPr>
      <w:r>
        <w:rPr>
          <w:rFonts w:hint="eastAsia" w:ascii="宋体" w:hAnsi="宋体" w:eastAsia="宋体" w:cs="宋体"/>
          <w:b/>
          <w:caps w:val="0"/>
          <w:color w:val="000000"/>
          <w:spacing w:val="18"/>
          <w:sz w:val="12"/>
          <w:szCs w:val="12"/>
          <w:bdr w:val="none" w:color="auto" w:sz="0" w:space="0"/>
          <w:shd w:val="clear" w:fill="FFFFFF"/>
        </w:rPr>
        <w:t>（二）学院奖助</w:t>
      </w:r>
      <w:r>
        <w:rPr>
          <w:rFonts w:hint="eastAsia" w:ascii="宋体" w:hAnsi="宋体" w:eastAsia="宋体" w:cs="宋体"/>
          <w:b/>
          <w:caps w:val="0"/>
          <w:color w:val="3366FF"/>
          <w:spacing w:val="18"/>
          <w:sz w:val="12"/>
          <w:szCs w:val="12"/>
          <w:bdr w:val="none" w:color="auto" w:sz="0" w:space="0"/>
          <w:shd w:val="clear" w:fill="FFFFFF"/>
        </w:rPr>
        <w:t>(适用全日制硕士生)</w:t>
      </w:r>
    </w:p>
    <w:p>
      <w:pPr>
        <w:pStyle w:val="3"/>
        <w:keepNext w:val="0"/>
        <w:keepLines w:val="0"/>
        <w:widowControl/>
        <w:suppressLineNumbers w:val="0"/>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全日制学术型作物遗传育种、作物栽培学与耕作学、热带园艺作物学、作物生态学专业，以及全日制专业学位农业硕士（农艺与种业、资源利用与植物保护）入学后由导师发放助研助教津贴每生</w:t>
      </w:r>
      <w:r>
        <w:rPr>
          <w:rFonts w:hint="eastAsia" w:ascii="宋体" w:hAnsi="宋体" w:eastAsia="宋体" w:cs="宋体"/>
          <w:caps w:val="0"/>
          <w:color w:val="666666"/>
          <w:spacing w:val="18"/>
          <w:sz w:val="12"/>
          <w:szCs w:val="12"/>
          <w:bdr w:val="none" w:color="auto" w:sz="0" w:space="0"/>
          <w:shd w:val="clear" w:fill="FFFFFF"/>
        </w:rPr>
        <w:t>400</w:t>
      </w:r>
      <w:r>
        <w:rPr>
          <w:rFonts w:hint="eastAsia" w:ascii="宋体" w:hAnsi="宋体" w:eastAsia="宋体" w:cs="宋体"/>
          <w:caps w:val="0"/>
          <w:color w:val="000000"/>
          <w:spacing w:val="18"/>
          <w:sz w:val="12"/>
          <w:szCs w:val="12"/>
          <w:bdr w:val="none" w:color="auto" w:sz="0" w:space="0"/>
          <w:shd w:val="clear" w:fill="FFFFFF"/>
        </w:rPr>
        <w:t>元</w:t>
      </w:r>
      <w:r>
        <w:rPr>
          <w:rFonts w:hint="eastAsia" w:ascii="宋体" w:hAnsi="宋体" w:eastAsia="宋体" w:cs="宋体"/>
          <w:caps w:val="0"/>
          <w:color w:val="666666"/>
          <w:spacing w:val="18"/>
          <w:sz w:val="12"/>
          <w:szCs w:val="12"/>
          <w:bdr w:val="none" w:color="auto" w:sz="0" w:space="0"/>
          <w:shd w:val="clear" w:fill="FFFFFF"/>
        </w:rPr>
        <w:t>/</w:t>
      </w:r>
      <w:r>
        <w:rPr>
          <w:rFonts w:hint="eastAsia" w:ascii="宋体" w:hAnsi="宋体" w:eastAsia="宋体" w:cs="宋体"/>
          <w:caps w:val="0"/>
          <w:color w:val="000000"/>
          <w:spacing w:val="18"/>
          <w:sz w:val="12"/>
          <w:szCs w:val="12"/>
          <w:bdr w:val="none" w:color="auto" w:sz="0" w:space="0"/>
          <w:shd w:val="clear" w:fill="FFFFFF"/>
        </w:rPr>
        <w:t>月。</w:t>
      </w:r>
      <w:r>
        <w:rPr>
          <w:rFonts w:hint="eastAsia" w:ascii="宋体" w:hAnsi="宋体" w:eastAsia="宋体" w:cs="宋体"/>
          <w:caps w:val="0"/>
          <w:color w:val="666666"/>
          <w:spacing w:val="18"/>
          <w:sz w:val="12"/>
          <w:szCs w:val="12"/>
          <w:bdr w:val="none" w:color="auto" w:sz="0" w:space="0"/>
          <w:shd w:val="clear" w:fill="FFFFFF"/>
        </w:rPr>
        <w:t> </w:t>
      </w:r>
    </w:p>
    <w:p>
      <w:pPr>
        <w:pStyle w:val="3"/>
        <w:keepNext w:val="0"/>
        <w:keepLines w:val="0"/>
        <w:widowControl/>
        <w:suppressLineNumbers w:val="0"/>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全日制学术型动物营养与饲料科学、动物遗传育种与繁殖、动物生产学专业，以及全日制农业硕士（畜牧）入学后由导师发放助研助教津贴每生</w:t>
      </w:r>
      <w:r>
        <w:rPr>
          <w:rFonts w:hint="eastAsia" w:ascii="宋体" w:hAnsi="宋体" w:eastAsia="宋体" w:cs="宋体"/>
          <w:caps w:val="0"/>
          <w:color w:val="666666"/>
          <w:spacing w:val="18"/>
          <w:sz w:val="12"/>
          <w:szCs w:val="12"/>
          <w:bdr w:val="none" w:color="auto" w:sz="0" w:space="0"/>
          <w:shd w:val="clear" w:fill="FFFFFF"/>
        </w:rPr>
        <w:t>1000-3000</w:t>
      </w:r>
      <w:r>
        <w:rPr>
          <w:rFonts w:hint="eastAsia" w:ascii="宋体" w:hAnsi="宋体" w:eastAsia="宋体" w:cs="宋体"/>
          <w:caps w:val="0"/>
          <w:color w:val="000000"/>
          <w:spacing w:val="18"/>
          <w:sz w:val="12"/>
          <w:szCs w:val="12"/>
          <w:bdr w:val="none" w:color="auto" w:sz="0" w:space="0"/>
          <w:shd w:val="clear" w:fill="FFFFFF"/>
        </w:rPr>
        <w:t>元</w:t>
      </w:r>
      <w:r>
        <w:rPr>
          <w:rFonts w:hint="eastAsia" w:ascii="宋体" w:hAnsi="宋体" w:eastAsia="宋体" w:cs="宋体"/>
          <w:caps w:val="0"/>
          <w:color w:val="666666"/>
          <w:spacing w:val="18"/>
          <w:sz w:val="12"/>
          <w:szCs w:val="12"/>
          <w:bdr w:val="none" w:color="auto" w:sz="0" w:space="0"/>
          <w:shd w:val="clear" w:fill="FFFFFF"/>
        </w:rPr>
        <w:t>/</w:t>
      </w:r>
      <w:r>
        <w:rPr>
          <w:rFonts w:hint="eastAsia" w:ascii="宋体" w:hAnsi="宋体" w:eastAsia="宋体" w:cs="宋体"/>
          <w:caps w:val="0"/>
          <w:color w:val="000000"/>
          <w:spacing w:val="18"/>
          <w:sz w:val="12"/>
          <w:szCs w:val="12"/>
          <w:bdr w:val="none" w:color="auto" w:sz="0" w:space="0"/>
          <w:shd w:val="clear" w:fill="FFFFFF"/>
        </w:rPr>
        <w:t>年。</w:t>
      </w:r>
      <w:r>
        <w:rPr>
          <w:rFonts w:hint="eastAsia" w:ascii="宋体" w:hAnsi="宋体" w:eastAsia="宋体" w:cs="宋体"/>
          <w:caps w:val="0"/>
          <w:color w:val="666666"/>
          <w:spacing w:val="18"/>
          <w:sz w:val="12"/>
          <w:szCs w:val="12"/>
          <w:bdr w:val="none" w:color="auto" w:sz="0" w:space="0"/>
          <w:shd w:val="clear" w:fill="FFFFFF"/>
        </w:rPr>
        <w:t> </w:t>
      </w:r>
    </w:p>
    <w:p>
      <w:pPr>
        <w:pStyle w:val="3"/>
        <w:keepNext w:val="0"/>
        <w:keepLines w:val="0"/>
        <w:widowControl/>
        <w:suppressLineNumbers w:val="0"/>
        <w:spacing w:line="188" w:lineRule="atLeast"/>
        <w:ind w:left="0" w:firstLine="420"/>
        <w:jc w:val="left"/>
      </w:pPr>
      <w:r>
        <w:rPr>
          <w:rFonts w:hint="eastAsia" w:ascii="宋体" w:hAnsi="宋体" w:eastAsia="宋体" w:cs="宋体"/>
          <w:caps w:val="0"/>
          <w:color w:val="3366FF"/>
          <w:spacing w:val="18"/>
          <w:sz w:val="12"/>
          <w:szCs w:val="12"/>
          <w:bdr w:val="none" w:color="auto" w:sz="0" w:space="0"/>
          <w:shd w:val="clear" w:fill="FFFFFF"/>
        </w:rPr>
        <w:t>全日制研究生考生（风景园林专业学生除外）来校复试时，由学院免费安排住宿，并报销往返车票（火车硬座、硬卧，高铁或动车二等座。被录取并入学后凭票报销）。</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b/>
          <w:caps w:val="0"/>
          <w:color w:val="000000"/>
          <w:spacing w:val="18"/>
          <w:sz w:val="12"/>
          <w:szCs w:val="12"/>
          <w:bdr w:val="none" w:color="auto" w:sz="0" w:space="0"/>
          <w:shd w:val="clear" w:fill="FFFFFF"/>
        </w:rPr>
        <w:t>（三）勤工俭学、社会资助和助学贷款</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研究生“三助一辅”岗位津贴：800－1000元/生.月。学校每学年提供助管、助研、助教和辅导员助理岗位，基本满足研究生需求；与湛江市委组织部合作每年选派研究生到湛江市相关单位部门挂职锻炼，学校和挂职单位均发给足额补助。</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社会奖学金：3000－10000元/生.年。目前学校设立的社会奖学金分别有中水奖学金、大北农奖学金、大华农奖学金、雅琪奖学金等，主要覆盖海洋、水产、食品、农学、管理类专业研究生，原则上不重复奖励。</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国家助学贷款:学校协助家庭经济困难学生向银行申请国家助学贷款。建议入学前咨询当地教育主管部门，申请生源地贷款，并将回执交给学校研招办。</w:t>
      </w:r>
    </w:p>
    <w:p>
      <w:pPr>
        <w:pStyle w:val="3"/>
        <w:keepNext w:val="0"/>
        <w:keepLines w:val="0"/>
        <w:widowControl/>
        <w:suppressLineNumbers w:val="0"/>
        <w:shd w:val="clear" w:fill="FFFFFF"/>
        <w:spacing w:line="188" w:lineRule="atLeast"/>
        <w:ind w:left="0" w:firstLine="472"/>
        <w:jc w:val="left"/>
      </w:pPr>
      <w:r>
        <w:rPr>
          <w:rFonts w:hint="eastAsia" w:ascii="宋体" w:hAnsi="宋体" w:eastAsia="宋体" w:cs="宋体"/>
          <w:b/>
          <w:caps w:val="0"/>
          <w:color w:val="000000"/>
          <w:spacing w:val="18"/>
          <w:sz w:val="12"/>
          <w:szCs w:val="12"/>
          <w:bdr w:val="none" w:color="auto" w:sz="0" w:space="0"/>
          <w:shd w:val="clear" w:fill="FFFFFF"/>
        </w:rPr>
        <w:t>四、收费标准</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学术型、专业学位型全日制硕士研究生学费标准：每生均为6000元/学年(不含风景园林硕士)；非全日制硕士研究生学费标准：农业硕士专业学位研究生8000元/学年，按学制三年计收；风景园林硕士学费标准：全日制8000元/学年、非全日制10000元/学年。住宿费约1300-1700元/学年，实际收取金额以政府主管部门最新核准价为准。 </w:t>
      </w:r>
    </w:p>
    <w:p>
      <w:pPr>
        <w:pStyle w:val="3"/>
        <w:keepNext w:val="0"/>
        <w:keepLines w:val="0"/>
        <w:widowControl/>
        <w:suppressLineNumbers w:val="0"/>
        <w:shd w:val="clear" w:fill="FFFFFF"/>
        <w:spacing w:line="188" w:lineRule="atLeast"/>
        <w:ind w:left="0" w:firstLine="472"/>
        <w:jc w:val="left"/>
      </w:pPr>
      <w:r>
        <w:rPr>
          <w:rFonts w:hint="eastAsia" w:ascii="宋体" w:hAnsi="宋体" w:eastAsia="宋体" w:cs="宋体"/>
          <w:b/>
          <w:caps w:val="0"/>
          <w:color w:val="000000"/>
          <w:spacing w:val="18"/>
          <w:sz w:val="12"/>
          <w:szCs w:val="12"/>
          <w:bdr w:val="none" w:color="auto" w:sz="0" w:space="0"/>
          <w:shd w:val="clear" w:fill="FFFFFF"/>
        </w:rPr>
        <w:t>五、调剂流程</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1、申请:符合条件的调剂考生填写《广东海洋大学研究生复试调剂申请表》发到邮箱</w:t>
      </w:r>
      <w:r>
        <w:rPr>
          <w:rFonts w:hint="eastAsia" w:ascii="宋体" w:hAnsi="宋体" w:eastAsia="宋体" w:cs="宋体"/>
          <w:caps w:val="0"/>
          <w:color w:val="000000"/>
          <w:spacing w:val="18"/>
          <w:sz w:val="12"/>
          <w:szCs w:val="12"/>
          <w:u w:val="none"/>
          <w:bdr w:val="none" w:color="auto" w:sz="0" w:space="0"/>
          <w:shd w:val="clear" w:fill="FFFFFF"/>
        </w:rPr>
        <w:t>14748048@qq.com</w:t>
      </w:r>
      <w:r>
        <w:rPr>
          <w:rFonts w:hint="eastAsia" w:ascii="宋体" w:hAnsi="宋体" w:eastAsia="宋体" w:cs="宋体"/>
          <w:caps w:val="0"/>
          <w:color w:val="000000"/>
          <w:spacing w:val="18"/>
          <w:sz w:val="12"/>
          <w:szCs w:val="12"/>
          <w:bdr w:val="none" w:color="auto" w:sz="0" w:space="0"/>
          <w:shd w:val="clear" w:fill="FFFFFF"/>
        </w:rPr>
        <w:t>。</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2、调剂系统输入调剂信息：研招网调剂系统开放后，调剂考生须尽快登陆“中国研究生招生信息网网上调剂系统”(公网网址:http://yz.chsi.com.cn，教育网网址:http://yz.chsi.cn)填写调剂申请，并将“广东海洋大学”作为第一志愿并确认。</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3、通知符合条件的调剂考生参加复试：根据专业需求和考生初试成绩，学校择优向考生发送复试通知，额满为止。</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4、复试：调剂考生接收到复试通知后，须在调剂系统回复，并按时间和地点要求到校参加复试。</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5、拟录取：复试合格的调剂考生收到我校发送的“待录取”通知后，应在24小时内登录“中国研究生招生信息网网上调剂系统”确认录取，否则视作自动放弃。</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caps w:val="0"/>
          <w:color w:val="000000"/>
          <w:spacing w:val="18"/>
          <w:sz w:val="12"/>
          <w:szCs w:val="12"/>
          <w:bdr w:val="none" w:color="auto" w:sz="0" w:space="0"/>
          <w:shd w:val="clear" w:fill="FFFFFF"/>
        </w:rPr>
        <w:t>6、我院接收退役大学生士兵计划调剂。</w:t>
      </w:r>
    </w:p>
    <w:p>
      <w:pPr>
        <w:pStyle w:val="3"/>
        <w:keepNext w:val="0"/>
        <w:keepLines w:val="0"/>
        <w:widowControl/>
        <w:suppressLineNumbers w:val="0"/>
        <w:shd w:val="clear" w:fill="FFFFFF"/>
        <w:spacing w:line="188" w:lineRule="atLeast"/>
        <w:ind w:left="0" w:firstLine="472"/>
        <w:jc w:val="left"/>
      </w:pPr>
      <w:r>
        <w:rPr>
          <w:rFonts w:hint="eastAsia" w:ascii="宋体" w:hAnsi="宋体" w:eastAsia="宋体" w:cs="宋体"/>
          <w:b/>
          <w:caps w:val="0"/>
          <w:color w:val="000000"/>
          <w:spacing w:val="18"/>
          <w:sz w:val="12"/>
          <w:szCs w:val="12"/>
          <w:bdr w:val="none" w:color="auto" w:sz="0" w:space="0"/>
          <w:shd w:val="clear" w:fill="FFFFFF"/>
        </w:rPr>
        <w:t>六、联系方式</w:t>
      </w:r>
    </w:p>
    <w:p>
      <w:pPr>
        <w:pStyle w:val="3"/>
        <w:keepNext w:val="0"/>
        <w:keepLines w:val="0"/>
        <w:widowControl/>
        <w:suppressLineNumbers w:val="0"/>
        <w:shd w:val="clear" w:fill="FFFFFF"/>
        <w:spacing w:line="188" w:lineRule="atLeast"/>
        <w:ind w:left="0" w:firstLine="413"/>
        <w:jc w:val="left"/>
      </w:pPr>
      <w:r>
        <w:rPr>
          <w:rFonts w:hint="eastAsia" w:ascii="宋体" w:hAnsi="宋体" w:eastAsia="宋体" w:cs="宋体"/>
          <w:b/>
          <w:caps w:val="0"/>
          <w:color w:val="000000"/>
          <w:spacing w:val="18"/>
          <w:sz w:val="12"/>
          <w:szCs w:val="12"/>
          <w:bdr w:val="none" w:color="auto" w:sz="0" w:space="0"/>
          <w:shd w:val="clear" w:fill="FFFFFF"/>
        </w:rPr>
        <w:t>联系人</w:t>
      </w:r>
      <w:r>
        <w:rPr>
          <w:rFonts w:hint="eastAsia" w:ascii="宋体" w:hAnsi="宋体" w:eastAsia="宋体" w:cs="宋体"/>
          <w:caps w:val="0"/>
          <w:color w:val="000000"/>
          <w:spacing w:val="18"/>
          <w:sz w:val="12"/>
          <w:szCs w:val="12"/>
          <w:bdr w:val="none" w:color="auto" w:sz="0" w:space="0"/>
          <w:shd w:val="clear" w:fill="FFFFFF"/>
        </w:rPr>
        <w:t>：</w:t>
      </w:r>
    </w:p>
    <w:p>
      <w:pPr>
        <w:pStyle w:val="3"/>
        <w:keepNext w:val="0"/>
        <w:keepLines w:val="0"/>
        <w:widowControl/>
        <w:suppressLineNumbers w:val="0"/>
        <w:shd w:val="clear" w:fill="FFFFFF"/>
        <w:spacing w:line="188" w:lineRule="atLeast"/>
        <w:ind w:left="0" w:firstLine="412"/>
        <w:jc w:val="left"/>
      </w:pPr>
      <w:r>
        <w:rPr>
          <w:rFonts w:hint="eastAsia" w:ascii="宋体" w:hAnsi="宋体" w:eastAsia="宋体" w:cs="宋体"/>
          <w:caps w:val="0"/>
          <w:color w:val="000000"/>
          <w:spacing w:val="18"/>
          <w:sz w:val="12"/>
          <w:szCs w:val="12"/>
          <w:bdr w:val="none" w:color="auto" w:sz="0" w:space="0"/>
          <w:shd w:val="clear" w:fill="FFFFFF"/>
        </w:rPr>
        <w:t>林老师</w:t>
      </w:r>
    </w:p>
    <w:p>
      <w:pPr>
        <w:pStyle w:val="3"/>
        <w:keepNext w:val="0"/>
        <w:keepLines w:val="0"/>
        <w:widowControl/>
        <w:suppressLineNumbers w:val="0"/>
        <w:shd w:val="clear" w:fill="FFFFFF"/>
        <w:spacing w:line="188" w:lineRule="atLeast"/>
        <w:ind w:left="0" w:firstLine="413"/>
        <w:jc w:val="left"/>
      </w:pPr>
      <w:r>
        <w:rPr>
          <w:rFonts w:hint="eastAsia" w:ascii="宋体" w:hAnsi="宋体" w:eastAsia="宋体" w:cs="宋体"/>
          <w:b/>
          <w:caps w:val="0"/>
          <w:color w:val="000000"/>
          <w:spacing w:val="18"/>
          <w:sz w:val="12"/>
          <w:szCs w:val="12"/>
          <w:bdr w:val="none" w:color="auto" w:sz="0" w:space="0"/>
          <w:shd w:val="clear" w:fill="FFFFFF"/>
        </w:rPr>
        <w:t>联系电话</w:t>
      </w:r>
      <w:r>
        <w:rPr>
          <w:rFonts w:hint="eastAsia" w:ascii="宋体" w:hAnsi="宋体" w:eastAsia="宋体" w:cs="宋体"/>
          <w:caps w:val="0"/>
          <w:color w:val="000000"/>
          <w:spacing w:val="18"/>
          <w:sz w:val="12"/>
          <w:szCs w:val="12"/>
          <w:bdr w:val="none" w:color="auto" w:sz="0" w:space="0"/>
          <w:shd w:val="clear" w:fill="FFFFFF"/>
        </w:rPr>
        <w:t>：13902502534（微信号同款）；QQ：14748048</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b/>
          <w:caps w:val="0"/>
          <w:color w:val="000000"/>
          <w:spacing w:val="18"/>
          <w:sz w:val="12"/>
          <w:szCs w:val="12"/>
          <w:bdr w:val="none" w:color="auto" w:sz="0" w:space="0"/>
          <w:shd w:val="clear" w:fill="FFFFFF"/>
        </w:rPr>
        <w:t>招生邮箱</w:t>
      </w:r>
      <w:r>
        <w:rPr>
          <w:rFonts w:hint="eastAsia" w:ascii="宋体" w:hAnsi="宋体" w:eastAsia="宋体" w:cs="宋体"/>
          <w:caps w:val="0"/>
          <w:color w:val="000000"/>
          <w:spacing w:val="18"/>
          <w:sz w:val="12"/>
          <w:szCs w:val="12"/>
          <w:bdr w:val="none" w:color="auto" w:sz="0" w:space="0"/>
          <w:shd w:val="clear" w:fill="FFFFFF"/>
        </w:rPr>
        <w:t>：</w:t>
      </w:r>
      <w:r>
        <w:rPr>
          <w:rFonts w:hint="eastAsia" w:ascii="宋体" w:hAnsi="宋体" w:eastAsia="宋体" w:cs="宋体"/>
          <w:caps w:val="0"/>
          <w:color w:val="000000"/>
          <w:spacing w:val="18"/>
          <w:sz w:val="12"/>
          <w:szCs w:val="12"/>
          <w:u w:val="none"/>
          <w:bdr w:val="none" w:color="auto" w:sz="0" w:space="0"/>
          <w:shd w:val="clear" w:fill="FFFFFF"/>
        </w:rPr>
        <w:t>14748048@qq.com</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b/>
          <w:caps w:val="0"/>
          <w:color w:val="000000"/>
          <w:spacing w:val="18"/>
          <w:sz w:val="12"/>
          <w:szCs w:val="12"/>
          <w:bdr w:val="none" w:color="auto" w:sz="0" w:space="0"/>
          <w:shd w:val="clear" w:fill="FFFFFF"/>
        </w:rPr>
        <w:t>考研咨询QQ群</w:t>
      </w:r>
      <w:r>
        <w:rPr>
          <w:rFonts w:hint="eastAsia" w:ascii="宋体" w:hAnsi="宋体" w:eastAsia="宋体" w:cs="宋体"/>
          <w:caps w:val="0"/>
          <w:color w:val="000000"/>
          <w:spacing w:val="18"/>
          <w:sz w:val="12"/>
          <w:szCs w:val="12"/>
          <w:bdr w:val="none" w:color="auto" w:sz="0" w:space="0"/>
          <w:shd w:val="clear" w:fill="FFFFFF"/>
        </w:rPr>
        <w:t>： 659274185</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b/>
          <w:caps w:val="0"/>
          <w:color w:val="000000"/>
          <w:spacing w:val="18"/>
          <w:sz w:val="12"/>
          <w:szCs w:val="12"/>
          <w:bdr w:val="none" w:color="auto" w:sz="0" w:space="0"/>
          <w:shd w:val="clear" w:fill="FFFFFF"/>
        </w:rPr>
        <w:t>联系地址</w:t>
      </w:r>
      <w:r>
        <w:rPr>
          <w:rFonts w:hint="eastAsia" w:ascii="宋体" w:hAnsi="宋体" w:eastAsia="宋体" w:cs="宋体"/>
          <w:caps w:val="0"/>
          <w:color w:val="000000"/>
          <w:spacing w:val="18"/>
          <w:sz w:val="12"/>
          <w:szCs w:val="12"/>
          <w:bdr w:val="none" w:color="auto" w:sz="0" w:space="0"/>
          <w:shd w:val="clear" w:fill="FFFFFF"/>
        </w:rPr>
        <w:t>：广东省湛江市麻章区海大路1号广东海洋大学兴农楼301室</w:t>
      </w:r>
    </w:p>
    <w:p>
      <w:pPr>
        <w:pStyle w:val="3"/>
        <w:keepNext w:val="0"/>
        <w:keepLines w:val="0"/>
        <w:widowControl/>
        <w:suppressLineNumbers w:val="0"/>
        <w:shd w:val="clear" w:fill="FFFFFF"/>
        <w:spacing w:line="188" w:lineRule="atLeast"/>
        <w:ind w:left="0" w:firstLine="420"/>
        <w:jc w:val="left"/>
      </w:pPr>
      <w:r>
        <w:rPr>
          <w:rFonts w:hint="eastAsia" w:ascii="宋体" w:hAnsi="宋体" w:eastAsia="宋体" w:cs="宋体"/>
          <w:b/>
          <w:caps w:val="0"/>
          <w:color w:val="000000"/>
          <w:spacing w:val="18"/>
          <w:sz w:val="12"/>
          <w:szCs w:val="12"/>
          <w:bdr w:val="none" w:color="auto" w:sz="0" w:space="0"/>
          <w:shd w:val="clear" w:fill="FFFFFF"/>
        </w:rPr>
        <w:t>邮政编码</w:t>
      </w:r>
      <w:r>
        <w:rPr>
          <w:rFonts w:hint="eastAsia" w:ascii="宋体" w:hAnsi="宋体" w:eastAsia="宋体" w:cs="宋体"/>
          <w:caps w:val="0"/>
          <w:color w:val="000000"/>
          <w:spacing w:val="18"/>
          <w:sz w:val="12"/>
          <w:szCs w:val="12"/>
          <w:bdr w:val="none" w:color="auto" w:sz="0" w:space="0"/>
          <w:shd w:val="clear" w:fill="FFFFFF"/>
        </w:rPr>
        <w:t>：524088</w:t>
      </w:r>
    </w:p>
    <w:p>
      <w:pPr>
        <w:pStyle w:val="3"/>
        <w:keepNext w:val="0"/>
        <w:keepLines w:val="0"/>
        <w:widowControl/>
        <w:suppressLineNumbers w:val="0"/>
        <w:shd w:val="clear" w:fill="FFFFFF"/>
        <w:spacing w:line="188" w:lineRule="atLeast"/>
        <w:ind w:left="0" w:firstLine="626"/>
        <w:jc w:val="left"/>
      </w:pPr>
      <w:r>
        <w:rPr>
          <w:rFonts w:hint="eastAsia" w:ascii="宋体" w:hAnsi="宋体" w:eastAsia="宋体" w:cs="宋体"/>
          <w:b/>
          <w:caps w:val="0"/>
          <w:color w:val="000000"/>
          <w:spacing w:val="18"/>
          <w:sz w:val="12"/>
          <w:szCs w:val="12"/>
          <w:bdr w:val="none" w:color="auto" w:sz="0" w:space="0"/>
          <w:shd w:val="clear" w:fill="FFFFFF"/>
        </w:rPr>
        <w:t>七：相关链接</w:t>
      </w:r>
    </w:p>
    <w:p>
      <w:pPr>
        <w:pStyle w:val="3"/>
        <w:keepNext w:val="0"/>
        <w:keepLines w:val="0"/>
        <w:widowControl/>
        <w:suppressLineNumbers w:val="0"/>
        <w:shd w:val="clear" w:fill="FFFFFF"/>
        <w:spacing w:line="188" w:lineRule="atLeast"/>
        <w:ind w:left="0" w:firstLine="550"/>
        <w:jc w:val="left"/>
      </w:pPr>
      <w:r>
        <w:rPr>
          <w:rFonts w:hint="eastAsia" w:ascii="宋体" w:hAnsi="宋体" w:eastAsia="宋体" w:cs="宋体"/>
          <w:caps w:val="0"/>
          <w:color w:val="000000"/>
          <w:spacing w:val="18"/>
          <w:sz w:val="12"/>
          <w:szCs w:val="12"/>
          <w:bdr w:val="none" w:color="auto" w:sz="0" w:space="0"/>
          <w:shd w:val="clear" w:fill="FFFFFF"/>
        </w:rPr>
        <w:t>1、广东海洋大学2020年硕士研究生招生章程（可查询复试科目与参考书、招生导师名单）</w:t>
      </w:r>
      <w:r>
        <w:rPr>
          <w:rFonts w:hint="eastAsia" w:ascii="宋体" w:hAnsi="宋体" w:eastAsia="宋体" w:cs="宋体"/>
          <w:caps w:val="0"/>
          <w:color w:val="000000"/>
          <w:spacing w:val="18"/>
          <w:sz w:val="9"/>
          <w:szCs w:val="9"/>
          <w:u w:val="none"/>
          <w:bdr w:val="none" w:color="auto" w:sz="0" w:space="0"/>
          <w:shd w:val="clear" w:fill="FFFFFF"/>
        </w:rPr>
        <w:fldChar w:fldCharType="begin"/>
      </w:r>
      <w:r>
        <w:rPr>
          <w:rFonts w:hint="eastAsia" w:ascii="宋体" w:hAnsi="宋体" w:eastAsia="宋体" w:cs="宋体"/>
          <w:caps w:val="0"/>
          <w:color w:val="000000"/>
          <w:spacing w:val="18"/>
          <w:sz w:val="9"/>
          <w:szCs w:val="9"/>
          <w:u w:val="none"/>
          <w:bdr w:val="none" w:color="auto" w:sz="0" w:space="0"/>
          <w:shd w:val="clear" w:fill="FFFFFF"/>
        </w:rPr>
        <w:instrText xml:space="preserve"> HYPERLINK "http://yjs.gdou.edu.cn/main/news/NewsList.aspx?no=26&amp;pId=10" </w:instrText>
      </w:r>
      <w:r>
        <w:rPr>
          <w:rFonts w:hint="eastAsia" w:ascii="宋体" w:hAnsi="宋体" w:eastAsia="宋体" w:cs="宋体"/>
          <w:caps w:val="0"/>
          <w:color w:val="000000"/>
          <w:spacing w:val="18"/>
          <w:sz w:val="9"/>
          <w:szCs w:val="9"/>
          <w:u w:val="none"/>
          <w:bdr w:val="none" w:color="auto" w:sz="0" w:space="0"/>
          <w:shd w:val="clear" w:fill="FFFFFF"/>
        </w:rPr>
        <w:fldChar w:fldCharType="separate"/>
      </w:r>
      <w:r>
        <w:rPr>
          <w:rStyle w:val="6"/>
          <w:rFonts w:hint="eastAsia" w:ascii="宋体" w:hAnsi="宋体" w:eastAsia="宋体" w:cs="宋体"/>
          <w:caps w:val="0"/>
          <w:color w:val="000000"/>
          <w:spacing w:val="18"/>
          <w:sz w:val="12"/>
          <w:szCs w:val="12"/>
          <w:u w:val="none"/>
          <w:bdr w:val="none" w:color="auto" w:sz="0" w:space="0"/>
          <w:shd w:val="clear" w:fill="FFFFFF"/>
        </w:rPr>
        <w:t> http://yjs.gdou.edu.cn/main/news/NewsList.aspx?no=26&amp;pId=10</w:t>
      </w:r>
      <w:r>
        <w:rPr>
          <w:rFonts w:hint="eastAsia" w:ascii="宋体" w:hAnsi="宋体" w:eastAsia="宋体" w:cs="宋体"/>
          <w:caps w:val="0"/>
          <w:color w:val="000000"/>
          <w:spacing w:val="18"/>
          <w:sz w:val="9"/>
          <w:szCs w:val="9"/>
          <w:u w:val="none"/>
          <w:bdr w:val="none" w:color="auto" w:sz="0" w:space="0"/>
          <w:shd w:val="clear" w:fill="FFFFFF"/>
        </w:rPr>
        <w:fldChar w:fldCharType="end"/>
      </w:r>
      <w:r>
        <w:rPr>
          <w:rFonts w:hint="eastAsia" w:ascii="宋体" w:hAnsi="宋体" w:eastAsia="宋体" w:cs="宋体"/>
          <w:caps w:val="0"/>
          <w:color w:val="000000"/>
          <w:spacing w:val="18"/>
          <w:sz w:val="12"/>
          <w:szCs w:val="12"/>
          <w:bdr w:val="none" w:color="auto" w:sz="0" w:space="0"/>
          <w:shd w:val="clear" w:fill="FFFFFF"/>
        </w:rPr>
        <w:t>（从广东海洋大学官网进入研究生院即有相关信息），或</w:t>
      </w:r>
      <w:r>
        <w:rPr>
          <w:rFonts w:hint="eastAsia" w:ascii="宋体" w:hAnsi="宋体" w:eastAsia="宋体" w:cs="宋体"/>
          <w:caps w:val="0"/>
          <w:color w:val="000000"/>
          <w:spacing w:val="18"/>
          <w:sz w:val="9"/>
          <w:szCs w:val="9"/>
          <w:u w:val="none"/>
          <w:bdr w:val="none" w:color="auto" w:sz="0" w:space="0"/>
          <w:shd w:val="clear" w:fill="FFFFFF"/>
        </w:rPr>
        <w:fldChar w:fldCharType="begin"/>
      </w:r>
      <w:r>
        <w:rPr>
          <w:rFonts w:hint="eastAsia" w:ascii="宋体" w:hAnsi="宋体" w:eastAsia="宋体" w:cs="宋体"/>
          <w:caps w:val="0"/>
          <w:color w:val="000000"/>
          <w:spacing w:val="18"/>
          <w:sz w:val="9"/>
          <w:szCs w:val="9"/>
          <w:u w:val="none"/>
          <w:bdr w:val="none" w:color="auto" w:sz="0" w:space="0"/>
          <w:shd w:val="clear" w:fill="FFFFFF"/>
        </w:rPr>
        <w:instrText xml:space="preserve"> HYPERLINK "http://www1.gdou.edu.cn/nxy/web/Show.asp?ClassID=19&amp;ID=3016" </w:instrText>
      </w:r>
      <w:r>
        <w:rPr>
          <w:rFonts w:hint="eastAsia" w:ascii="宋体" w:hAnsi="宋体" w:eastAsia="宋体" w:cs="宋体"/>
          <w:caps w:val="0"/>
          <w:color w:val="000000"/>
          <w:spacing w:val="18"/>
          <w:sz w:val="9"/>
          <w:szCs w:val="9"/>
          <w:u w:val="none"/>
          <w:bdr w:val="none" w:color="auto" w:sz="0" w:space="0"/>
          <w:shd w:val="clear" w:fill="FFFFFF"/>
        </w:rPr>
        <w:fldChar w:fldCharType="separate"/>
      </w:r>
      <w:r>
        <w:rPr>
          <w:rStyle w:val="6"/>
          <w:rFonts w:hint="eastAsia" w:ascii="宋体" w:hAnsi="宋体" w:eastAsia="宋体" w:cs="宋体"/>
          <w:caps w:val="0"/>
          <w:color w:val="000000"/>
          <w:spacing w:val="18"/>
          <w:sz w:val="12"/>
          <w:szCs w:val="12"/>
          <w:u w:val="none"/>
          <w:bdr w:val="none" w:color="auto" w:sz="0" w:space="0"/>
          <w:shd w:val="clear" w:fill="FFFFFF"/>
        </w:rPr>
        <w:t>http://www1.gdou.edu.cn/nxy/web/Show.asp?ClassID=19&amp;ID=3016</w:t>
      </w:r>
      <w:r>
        <w:rPr>
          <w:rFonts w:hint="eastAsia" w:ascii="宋体" w:hAnsi="宋体" w:eastAsia="宋体" w:cs="宋体"/>
          <w:caps w:val="0"/>
          <w:color w:val="000000"/>
          <w:spacing w:val="18"/>
          <w:sz w:val="9"/>
          <w:szCs w:val="9"/>
          <w:u w:val="none"/>
          <w:bdr w:val="none" w:color="auto" w:sz="0" w:space="0"/>
          <w:shd w:val="clear" w:fill="FFFFFF"/>
        </w:rPr>
        <w:fldChar w:fldCharType="end"/>
      </w:r>
      <w:r>
        <w:rPr>
          <w:rFonts w:hint="eastAsia" w:ascii="宋体" w:hAnsi="宋体" w:eastAsia="宋体" w:cs="宋体"/>
          <w:caps w:val="0"/>
          <w:color w:val="000000"/>
          <w:spacing w:val="18"/>
          <w:sz w:val="12"/>
          <w:szCs w:val="12"/>
          <w:bdr w:val="none" w:color="auto" w:sz="0" w:space="0"/>
          <w:shd w:val="clear" w:fill="FFFFFF"/>
        </w:rPr>
        <w:t>（从广东海洋大学官网进入滨海农业学院即有相关信息）。</w:t>
      </w:r>
    </w:p>
    <w:p>
      <w:pPr>
        <w:pStyle w:val="3"/>
        <w:keepNext w:val="0"/>
        <w:keepLines w:val="0"/>
        <w:widowControl/>
        <w:suppressLineNumbers w:val="0"/>
        <w:shd w:val="clear" w:fill="FFFFFF"/>
        <w:spacing w:line="188" w:lineRule="atLeast"/>
        <w:ind w:left="0" w:firstLine="550"/>
        <w:jc w:val="left"/>
      </w:pPr>
      <w:r>
        <w:rPr>
          <w:rFonts w:hint="eastAsia" w:ascii="宋体" w:hAnsi="宋体" w:eastAsia="宋体" w:cs="宋体"/>
          <w:caps w:val="0"/>
          <w:color w:val="000000"/>
          <w:spacing w:val="18"/>
          <w:sz w:val="12"/>
          <w:szCs w:val="12"/>
          <w:bdr w:val="none" w:color="auto" w:sz="0" w:space="0"/>
          <w:shd w:val="clear" w:fill="FFFFFF"/>
        </w:rPr>
        <w:t>2、滨海农业学院师资队伍介绍http://yjs.gdou.edu.cn/yjsSQL_xxjhpt/tasks/tutor-Doctor-List.asp（在广东海洋大学研究生院网站），或http://www1.gdou.edu.cn/nxy/web/news.asp?ClassID=21（在广东海洋大学滨海农业学院网站）</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765866"/>
    <w:rsid w:val="107658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2020-03-02T08:25:00Z</dcterms:created>
  <dc:creator>yyc18</dc:creator>
  <cp:lastModifiedBy>yyc18</cp:lastModifiedBy>
  <dcterms:modified xsi:type="dcterms:W3CDTF">2020-03-02T08:25:50Z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