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 w:val="44"/>
          <w:szCs w:val="44"/>
        </w:rPr>
      </w:pPr>
      <w:r>
        <w:rPr>
          <w:rFonts w:hint="eastAsia" w:ascii="宋体" w:hAnsi="宋体" w:cs="宋体"/>
          <w:b/>
          <w:sz w:val="44"/>
          <w:szCs w:val="44"/>
        </w:rPr>
        <w:t>郑州大学以研究生毕业同等学力</w:t>
      </w:r>
    </w:p>
    <w:p>
      <w:pPr>
        <w:spacing w:line="440" w:lineRule="exact"/>
        <w:jc w:val="center"/>
        <w:rPr>
          <w:rFonts w:ascii="宋体" w:hAnsi="宋体" w:cs="宋体"/>
          <w:b/>
          <w:sz w:val="44"/>
          <w:szCs w:val="44"/>
        </w:rPr>
      </w:pPr>
    </w:p>
    <w:p>
      <w:pPr>
        <w:spacing w:line="440" w:lineRule="exact"/>
        <w:jc w:val="center"/>
        <w:rPr>
          <w:rFonts w:ascii="宋体" w:hAnsi="宋体" w:cs="宋体"/>
          <w:b/>
          <w:sz w:val="44"/>
          <w:szCs w:val="44"/>
        </w:rPr>
      </w:pPr>
      <w:r>
        <w:rPr>
          <w:rFonts w:hint="eastAsia" w:ascii="宋体" w:hAnsi="宋体" w:cs="宋体"/>
          <w:b/>
          <w:sz w:val="44"/>
          <w:szCs w:val="44"/>
        </w:rPr>
        <w:t>申请硕士学位指南</w:t>
      </w:r>
    </w:p>
    <w:p>
      <w:pPr>
        <w:spacing w:line="440" w:lineRule="exact"/>
        <w:jc w:val="center"/>
        <w:rPr>
          <w:rFonts w:ascii="宋体" w:hAnsi="宋体" w:cs="宋体"/>
          <w:b/>
          <w:szCs w:val="28"/>
        </w:rPr>
      </w:pPr>
    </w:p>
    <w:p>
      <w:pPr>
        <w:spacing w:line="440" w:lineRule="exact"/>
        <w:jc w:val="center"/>
        <w:rPr>
          <w:rFonts w:ascii="宋体" w:hAnsi="宋体" w:cs="宋体"/>
          <w:b/>
          <w:szCs w:val="28"/>
        </w:rPr>
      </w:pPr>
      <w:r>
        <w:rPr>
          <w:rFonts w:hint="eastAsia" w:ascii="宋体" w:hAnsi="宋体" w:cs="宋体"/>
          <w:b/>
          <w:szCs w:val="28"/>
        </w:rPr>
        <w:t>（修订版）</w:t>
      </w: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p>
    <w:p>
      <w:pPr>
        <w:spacing w:line="440" w:lineRule="exact"/>
        <w:jc w:val="center"/>
        <w:rPr>
          <w:rFonts w:ascii="宋体" w:hAnsi="宋体" w:cs="宋体"/>
          <w:b/>
          <w:szCs w:val="28"/>
        </w:rPr>
      </w:pPr>
      <w:r>
        <w:rPr>
          <w:rFonts w:hint="eastAsia" w:ascii="宋体" w:hAnsi="宋体" w:cs="宋体"/>
          <w:b/>
          <w:szCs w:val="28"/>
        </w:rPr>
        <w:t>研究生院编写</w:t>
      </w:r>
    </w:p>
    <w:p>
      <w:pPr>
        <w:spacing w:line="440" w:lineRule="exact"/>
        <w:jc w:val="center"/>
        <w:rPr>
          <w:rFonts w:ascii="宋体" w:hAnsi="宋体" w:cs="宋体"/>
          <w:b/>
          <w:szCs w:val="28"/>
        </w:rPr>
      </w:pPr>
    </w:p>
    <w:p>
      <w:pPr>
        <w:spacing w:line="440" w:lineRule="exact"/>
        <w:jc w:val="center"/>
        <w:rPr>
          <w:rFonts w:ascii="宋体" w:hAnsi="宋体" w:cs="宋体"/>
          <w:b/>
          <w:szCs w:val="28"/>
        </w:rPr>
      </w:pPr>
      <w:r>
        <w:rPr>
          <w:rFonts w:hint="eastAsia" w:ascii="宋体" w:hAnsi="宋体" w:cs="宋体"/>
          <w:b/>
          <w:szCs w:val="28"/>
        </w:rPr>
        <w:t>201</w:t>
      </w:r>
      <w:r>
        <w:rPr>
          <w:rFonts w:hint="eastAsia" w:ascii="宋体" w:hAnsi="宋体" w:cs="宋体"/>
          <w:b/>
          <w:szCs w:val="28"/>
          <w:lang w:val="en-US" w:eastAsia="zh-CN"/>
        </w:rPr>
        <w:t>9</w:t>
      </w:r>
      <w:r>
        <w:rPr>
          <w:rFonts w:hint="eastAsia" w:ascii="宋体" w:hAnsi="宋体" w:cs="宋体"/>
          <w:b/>
          <w:szCs w:val="28"/>
        </w:rPr>
        <w:t>年</w:t>
      </w:r>
      <w:r>
        <w:rPr>
          <w:rFonts w:hint="eastAsia" w:ascii="宋体" w:hAnsi="宋体" w:cs="宋体"/>
          <w:b/>
          <w:szCs w:val="28"/>
          <w:lang w:val="en-US" w:eastAsia="zh-CN"/>
        </w:rPr>
        <w:t>6</w:t>
      </w:r>
      <w:r>
        <w:rPr>
          <w:rFonts w:hint="eastAsia" w:ascii="宋体" w:hAnsi="宋体" w:cs="宋体"/>
          <w:b/>
          <w:szCs w:val="28"/>
        </w:rPr>
        <w:t>月</w:t>
      </w:r>
    </w:p>
    <w:p>
      <w:pPr>
        <w:spacing w:line="440" w:lineRule="exact"/>
        <w:jc w:val="center"/>
        <w:rPr>
          <w:rFonts w:ascii="黑体" w:hAnsi="黑体" w:eastAsia="黑体"/>
          <w:b/>
          <w:sz w:val="36"/>
        </w:rPr>
      </w:pPr>
    </w:p>
    <w:p>
      <w:pPr>
        <w:spacing w:line="440" w:lineRule="exact"/>
        <w:jc w:val="center"/>
        <w:rPr>
          <w:rFonts w:ascii="黑体" w:hAnsi="黑体" w:eastAsia="黑体"/>
          <w:b/>
          <w:sz w:val="36"/>
        </w:rPr>
      </w:pPr>
    </w:p>
    <w:p>
      <w:pPr>
        <w:spacing w:line="440" w:lineRule="exact"/>
        <w:jc w:val="center"/>
        <w:rPr>
          <w:rFonts w:ascii="黑体" w:hAnsi="黑体" w:eastAsia="黑体"/>
          <w:b/>
          <w:sz w:val="36"/>
        </w:rPr>
      </w:pPr>
    </w:p>
    <w:p>
      <w:pPr>
        <w:spacing w:line="440" w:lineRule="exact"/>
        <w:jc w:val="center"/>
        <w:rPr>
          <w:rFonts w:ascii="黑体" w:hAnsi="黑体" w:eastAsia="黑体"/>
          <w:b/>
          <w:sz w:val="36"/>
        </w:rPr>
      </w:pPr>
    </w:p>
    <w:p>
      <w:pPr>
        <w:spacing w:line="440" w:lineRule="exact"/>
        <w:jc w:val="center"/>
        <w:rPr>
          <w:sz w:val="36"/>
        </w:rPr>
      </w:pPr>
      <w:r>
        <w:rPr>
          <w:rFonts w:hint="eastAsia" w:ascii="黑体" w:hAnsi="黑体" w:eastAsia="黑体"/>
          <w:sz w:val="36"/>
        </w:rPr>
        <w:t>前   言</w:t>
      </w:r>
    </w:p>
    <w:p>
      <w:pPr>
        <w:spacing w:line="600" w:lineRule="exact"/>
        <w:jc w:val="left"/>
        <w:rPr>
          <w:rFonts w:ascii="宋体" w:hAnsi="宋体" w:cs="宋体"/>
          <w:szCs w:val="28"/>
        </w:rPr>
      </w:pPr>
    </w:p>
    <w:p>
      <w:pPr>
        <w:spacing w:line="600" w:lineRule="exact"/>
        <w:jc w:val="left"/>
        <w:rPr>
          <w:rFonts w:ascii="宋体" w:hAnsi="宋体" w:cs="宋体"/>
          <w:szCs w:val="28"/>
        </w:rPr>
      </w:pPr>
      <w:r>
        <w:rPr>
          <w:rFonts w:hint="eastAsia" w:ascii="宋体" w:hAnsi="宋体" w:cs="宋体"/>
          <w:szCs w:val="28"/>
        </w:rPr>
        <w:t xml:space="preserve">    为了更好的帮助同等学力申硕人员了解相关政策、清楚申硕要求、熟悉申硕程序，为了更好的辅助学院相关工作人员明确工作流程、理清管理制度、规范申硕工作，根据国务院学位委员会相关文件、我校学位授予工作相关文件及同等学力申硕工作中遇到的实际问题，研究生院学位办编写了本《指南》。</w:t>
      </w:r>
    </w:p>
    <w:p>
      <w:pPr>
        <w:spacing w:line="600" w:lineRule="exact"/>
        <w:jc w:val="left"/>
        <w:rPr>
          <w:rFonts w:ascii="宋体" w:hAnsi="宋体" w:cs="宋体"/>
          <w:szCs w:val="28"/>
        </w:rPr>
      </w:pPr>
      <w:r>
        <w:rPr>
          <w:rFonts w:hint="eastAsia" w:ascii="宋体" w:hAnsi="宋体" w:cs="宋体"/>
          <w:szCs w:val="28"/>
        </w:rPr>
        <w:t xml:space="preserve">    《指南》发布的同等学力申硕的程序、要求以及常见问题解答等，属于学校对同等学力申硕人员的总体要求，学院在政策执行上不得宽于学校要求。学院认为有必要严于学校要求的需要向研究生院学位办提交报告备案，并将学院严于学校要求的条款发布在学院网站以确保申请人知晓。</w:t>
      </w:r>
    </w:p>
    <w:p>
      <w:pPr>
        <w:spacing w:line="600" w:lineRule="exact"/>
        <w:ind w:firstLine="555"/>
        <w:jc w:val="left"/>
        <w:rPr>
          <w:rFonts w:ascii="宋体" w:hAnsi="宋体" w:cs="宋体"/>
          <w:szCs w:val="28"/>
        </w:rPr>
      </w:pPr>
      <w:r>
        <w:rPr>
          <w:rFonts w:hint="eastAsia" w:ascii="宋体" w:hAnsi="宋体" w:cs="宋体"/>
          <w:szCs w:val="28"/>
        </w:rPr>
        <w:t>我校学位与研究生教育实行学校-学院二级管理模式，研究生院负责同等学力申硕条件要求及管理制度的制定解读与指导监督，学院负责同等学力申硕人员的过程管理与管理制度的宣传落实。</w:t>
      </w:r>
    </w:p>
    <w:p>
      <w:pPr>
        <w:spacing w:line="600" w:lineRule="exact"/>
        <w:jc w:val="left"/>
      </w:pPr>
      <w:r>
        <w:rPr>
          <w:rFonts w:hint="eastAsia" w:ascii="宋体" w:hAnsi="宋体" w:cs="宋体"/>
          <w:szCs w:val="28"/>
        </w:rPr>
        <w:t xml:space="preserve">    《指南(修订版)》是在《指南(试用版)》基础上修订完成的,可能仍然存在考虑不周之处，还请学院负责老师不吝赐教，也很希望听到同等学力人员的诉求，我们将在此基础上继续完善，以满足同等学力人员和管理工作人员的需求。</w:t>
      </w:r>
    </w:p>
    <w:p>
      <w:pPr>
        <w:spacing w:line="600" w:lineRule="exact"/>
        <w:ind w:firstLine="555"/>
        <w:jc w:val="left"/>
        <w:rPr>
          <w:rFonts w:ascii="宋体" w:hAnsi="宋体" w:cs="宋体"/>
          <w:szCs w:val="28"/>
        </w:rPr>
      </w:pPr>
    </w:p>
    <w:p>
      <w:pPr>
        <w:spacing w:line="600" w:lineRule="exact"/>
        <w:jc w:val="left"/>
        <w:rPr>
          <w:rFonts w:ascii="宋体" w:hAnsi="宋体" w:cs="宋体"/>
          <w:szCs w:val="28"/>
        </w:rPr>
      </w:pPr>
    </w:p>
    <w:p>
      <w:pPr>
        <w:spacing w:line="600" w:lineRule="exact"/>
        <w:jc w:val="left"/>
        <w:rPr>
          <w:rFonts w:ascii="宋体" w:hAnsi="宋体" w:cs="宋体"/>
          <w:szCs w:val="28"/>
        </w:rPr>
      </w:pPr>
    </w:p>
    <w:p>
      <w:pPr>
        <w:spacing w:line="600" w:lineRule="exact"/>
        <w:jc w:val="left"/>
        <w:rPr>
          <w:rFonts w:ascii="宋体" w:hAnsi="宋体" w:cs="宋体"/>
          <w:szCs w:val="28"/>
        </w:rPr>
      </w:pPr>
    </w:p>
    <w:p>
      <w:pPr>
        <w:spacing w:line="600" w:lineRule="exact"/>
        <w:jc w:val="left"/>
      </w:pPr>
    </w:p>
    <w:p>
      <w:pPr>
        <w:spacing w:line="600" w:lineRule="exact"/>
        <w:jc w:val="left"/>
      </w:pPr>
    </w:p>
    <w:p>
      <w:pPr>
        <w:spacing w:line="600" w:lineRule="exact"/>
        <w:jc w:val="left"/>
      </w:pPr>
    </w:p>
    <w:sdt>
      <w:sdtPr>
        <w:rPr>
          <w:rFonts w:ascii="Times New Roman" w:hAnsi="Times New Roman" w:eastAsia="宋体" w:cs="Times New Roman"/>
          <w:b w:val="0"/>
          <w:bCs w:val="0"/>
          <w:color w:val="auto"/>
          <w:kern w:val="2"/>
          <w:sz w:val="24"/>
          <w:szCs w:val="20"/>
          <w:lang w:val="zh-CN"/>
        </w:rPr>
        <w:id w:val="1034759"/>
      </w:sdtPr>
      <w:sdtEndPr>
        <w:rPr>
          <w:rFonts w:ascii="黑体" w:hAnsi="黑体" w:eastAsia="黑体" w:cstheme="minorBidi"/>
          <w:b w:val="0"/>
          <w:bCs w:val="0"/>
          <w:color w:val="auto"/>
          <w:kern w:val="0"/>
          <w:sz w:val="24"/>
          <w:szCs w:val="22"/>
          <w:lang w:val="en-US"/>
        </w:rPr>
      </w:sdtEndPr>
      <w:sdtContent>
        <w:p>
          <w:pPr>
            <w:pStyle w:val="23"/>
            <w:tabs>
              <w:tab w:val="left" w:pos="5424"/>
            </w:tabs>
            <w:spacing w:line="380" w:lineRule="exact"/>
            <w:jc w:val="center"/>
            <w:rPr>
              <w:color w:val="auto"/>
              <w:sz w:val="36"/>
            </w:rPr>
          </w:pPr>
          <w:r>
            <w:rPr>
              <w:rFonts w:ascii="黑体" w:hAnsi="黑体" w:eastAsia="黑体"/>
              <w:color w:val="auto"/>
              <w:sz w:val="36"/>
              <w:lang w:val="zh-CN"/>
            </w:rPr>
            <w:t>目录</w:t>
          </w:r>
        </w:p>
        <w:p>
          <w:pPr>
            <w:pStyle w:val="10"/>
          </w:pPr>
        </w:p>
        <w:p>
          <w:pPr>
            <w:pStyle w:val="10"/>
            <w:tabs>
              <w:tab w:val="right" w:leader="dot" w:pos="8856"/>
              <w:tab w:val="clear" w:pos="8846"/>
            </w:tabs>
          </w:pPr>
          <w:r>
            <w:fldChar w:fldCharType="begin"/>
          </w:r>
          <w:r>
            <w:instrText xml:space="preserve"> TOC \o "1-3" \h \z \u </w:instrText>
          </w:r>
          <w:r>
            <w:fldChar w:fldCharType="separate"/>
          </w:r>
          <w:bookmarkStart w:id="55" w:name="_GoBack"/>
          <w:r>
            <w:fldChar w:fldCharType="begin"/>
          </w:r>
          <w:r>
            <w:instrText xml:space="preserve"> HYPERLINK \l _Toc13222 </w:instrText>
          </w:r>
          <w:r>
            <w:fldChar w:fldCharType="separate"/>
          </w:r>
          <w:r>
            <w:rPr>
              <w:rFonts w:hint="eastAsia"/>
            </w:rPr>
            <w:t>第一部分  学位申请资格审核的程序及要求</w:t>
          </w:r>
          <w:r>
            <w:tab/>
          </w:r>
          <w:r>
            <w:fldChar w:fldCharType="begin"/>
          </w:r>
          <w:r>
            <w:instrText xml:space="preserve"> PAGEREF _Toc13222 </w:instrText>
          </w:r>
          <w:r>
            <w:fldChar w:fldCharType="separate"/>
          </w:r>
          <w:r>
            <w:t>4</w:t>
          </w:r>
          <w:r>
            <w:fldChar w:fldCharType="end"/>
          </w:r>
          <w:r>
            <w:fldChar w:fldCharType="end"/>
          </w:r>
        </w:p>
        <w:p>
          <w:pPr>
            <w:pStyle w:val="10"/>
            <w:tabs>
              <w:tab w:val="right" w:leader="dot" w:pos="8856"/>
              <w:tab w:val="clear" w:pos="8846"/>
            </w:tabs>
          </w:pPr>
          <w:r>
            <w:fldChar w:fldCharType="begin"/>
          </w:r>
          <w:r>
            <w:instrText xml:space="preserve"> HYPERLINK \l _Toc17939 </w:instrText>
          </w:r>
          <w:r>
            <w:fldChar w:fldCharType="separate"/>
          </w:r>
          <w:r>
            <w:rPr>
              <w:rFonts w:hint="eastAsia"/>
            </w:rPr>
            <w:t>一、</w:t>
          </w:r>
          <w:r>
            <w:rPr>
              <w:rFonts w:hint="eastAsia"/>
              <w:szCs w:val="28"/>
            </w:rPr>
            <w:t>学位申请的基本条件</w:t>
          </w:r>
          <w:r>
            <w:tab/>
          </w:r>
          <w:r>
            <w:fldChar w:fldCharType="begin"/>
          </w:r>
          <w:r>
            <w:instrText xml:space="preserve"> PAGEREF _Toc17939 </w:instrText>
          </w:r>
          <w:r>
            <w:fldChar w:fldCharType="separate"/>
          </w:r>
          <w:r>
            <w:t>4</w:t>
          </w:r>
          <w:r>
            <w:fldChar w:fldCharType="end"/>
          </w:r>
          <w:r>
            <w:fldChar w:fldCharType="end"/>
          </w:r>
        </w:p>
        <w:p>
          <w:pPr>
            <w:pStyle w:val="10"/>
            <w:tabs>
              <w:tab w:val="right" w:leader="dot" w:pos="8856"/>
              <w:tab w:val="clear" w:pos="8846"/>
            </w:tabs>
          </w:pPr>
          <w:r>
            <w:fldChar w:fldCharType="begin"/>
          </w:r>
          <w:r>
            <w:instrText xml:space="preserve"> HYPERLINK \l _Toc32752 </w:instrText>
          </w:r>
          <w:r>
            <w:fldChar w:fldCharType="separate"/>
          </w:r>
          <w:r>
            <w:rPr>
              <w:rFonts w:hint="eastAsia"/>
            </w:rPr>
            <w:t>二、学位申请资格审核的程序要求</w:t>
          </w:r>
          <w:r>
            <w:tab/>
          </w:r>
          <w:r>
            <w:fldChar w:fldCharType="begin"/>
          </w:r>
          <w:r>
            <w:instrText xml:space="preserve"> PAGEREF _Toc32752 </w:instrText>
          </w:r>
          <w:r>
            <w:fldChar w:fldCharType="separate"/>
          </w:r>
          <w:r>
            <w:t>4</w:t>
          </w:r>
          <w:r>
            <w:fldChar w:fldCharType="end"/>
          </w:r>
          <w:r>
            <w:fldChar w:fldCharType="end"/>
          </w:r>
        </w:p>
        <w:p>
          <w:pPr>
            <w:pStyle w:val="10"/>
            <w:tabs>
              <w:tab w:val="right" w:leader="dot" w:pos="8856"/>
              <w:tab w:val="clear" w:pos="8846"/>
            </w:tabs>
          </w:pPr>
          <w:r>
            <w:fldChar w:fldCharType="begin"/>
          </w:r>
          <w:r>
            <w:instrText xml:space="preserve"> HYPERLINK \l _Toc20568 </w:instrText>
          </w:r>
          <w:r>
            <w:fldChar w:fldCharType="separate"/>
          </w:r>
          <w:r>
            <w:rPr>
              <w:rFonts w:hint="eastAsia"/>
            </w:rPr>
            <w:t>第二部分  同等学力水平认定的程序及要求</w:t>
          </w:r>
          <w:r>
            <w:tab/>
          </w:r>
          <w:r>
            <w:fldChar w:fldCharType="begin"/>
          </w:r>
          <w:r>
            <w:instrText xml:space="preserve"> PAGEREF _Toc20568 </w:instrText>
          </w:r>
          <w:r>
            <w:fldChar w:fldCharType="separate"/>
          </w:r>
          <w:r>
            <w:t>4</w:t>
          </w:r>
          <w:r>
            <w:fldChar w:fldCharType="end"/>
          </w:r>
          <w:r>
            <w:fldChar w:fldCharType="end"/>
          </w:r>
        </w:p>
        <w:p>
          <w:pPr>
            <w:pStyle w:val="10"/>
            <w:tabs>
              <w:tab w:val="right" w:leader="dot" w:pos="8856"/>
              <w:tab w:val="clear" w:pos="8846"/>
            </w:tabs>
          </w:pPr>
          <w:r>
            <w:fldChar w:fldCharType="begin"/>
          </w:r>
          <w:r>
            <w:instrText xml:space="preserve"> HYPERLINK \l _Toc12500 </w:instrText>
          </w:r>
          <w:r>
            <w:fldChar w:fldCharType="separate"/>
          </w:r>
          <w:r>
            <w:rPr>
              <w:rFonts w:hint="eastAsia"/>
            </w:rPr>
            <w:t>一、</w:t>
          </w:r>
          <w:r>
            <w:rPr>
              <w:rFonts w:hint="eastAsia"/>
              <w:lang w:val="en-US" w:eastAsia="zh-CN"/>
            </w:rPr>
            <w:t>课程设置及</w:t>
          </w:r>
          <w:r>
            <w:rPr>
              <w:rFonts w:hint="eastAsia"/>
            </w:rPr>
            <w:t>课程学习</w:t>
          </w:r>
          <w:r>
            <w:tab/>
          </w:r>
          <w:r>
            <w:fldChar w:fldCharType="begin"/>
          </w:r>
          <w:r>
            <w:instrText xml:space="preserve"> PAGEREF _Toc12500 </w:instrText>
          </w:r>
          <w:r>
            <w:fldChar w:fldCharType="separate"/>
          </w:r>
          <w:r>
            <w:t>4</w:t>
          </w:r>
          <w:r>
            <w:fldChar w:fldCharType="end"/>
          </w:r>
          <w:r>
            <w:fldChar w:fldCharType="end"/>
          </w:r>
        </w:p>
        <w:p>
          <w:pPr>
            <w:pStyle w:val="10"/>
            <w:tabs>
              <w:tab w:val="right" w:leader="dot" w:pos="8856"/>
              <w:tab w:val="clear" w:pos="8846"/>
            </w:tabs>
          </w:pPr>
          <w:r>
            <w:fldChar w:fldCharType="begin"/>
          </w:r>
          <w:r>
            <w:instrText xml:space="preserve"> HYPERLINK \l _Toc30520 </w:instrText>
          </w:r>
          <w:r>
            <w:fldChar w:fldCharType="separate"/>
          </w:r>
          <w:r>
            <w:rPr>
              <w:rFonts w:hint="eastAsia"/>
            </w:rPr>
            <w:t>二、课程水平认定考试</w:t>
          </w:r>
          <w:r>
            <w:tab/>
          </w:r>
          <w:r>
            <w:fldChar w:fldCharType="begin"/>
          </w:r>
          <w:r>
            <w:instrText xml:space="preserve"> PAGEREF _Toc30520 </w:instrText>
          </w:r>
          <w:r>
            <w:fldChar w:fldCharType="separate"/>
          </w:r>
          <w:r>
            <w:t>5</w:t>
          </w:r>
          <w:r>
            <w:fldChar w:fldCharType="end"/>
          </w:r>
          <w:r>
            <w:fldChar w:fldCharType="end"/>
          </w:r>
        </w:p>
        <w:p>
          <w:pPr>
            <w:pStyle w:val="10"/>
            <w:tabs>
              <w:tab w:val="right" w:leader="dot" w:pos="8856"/>
              <w:tab w:val="clear" w:pos="8846"/>
            </w:tabs>
          </w:pPr>
          <w:r>
            <w:fldChar w:fldCharType="begin"/>
          </w:r>
          <w:r>
            <w:instrText xml:space="preserve"> HYPERLINK \l _Toc5554 </w:instrText>
          </w:r>
          <w:r>
            <w:fldChar w:fldCharType="separate"/>
          </w:r>
          <w:r>
            <w:rPr>
              <w:rFonts w:hint="eastAsia"/>
            </w:rPr>
            <w:t>三、国家组织的英语（学科综合）水平全国统考</w:t>
          </w:r>
          <w:r>
            <w:tab/>
          </w:r>
          <w:r>
            <w:fldChar w:fldCharType="begin"/>
          </w:r>
          <w:r>
            <w:instrText xml:space="preserve"> PAGEREF _Toc5554 </w:instrText>
          </w:r>
          <w:r>
            <w:fldChar w:fldCharType="separate"/>
          </w:r>
          <w:r>
            <w:t>5</w:t>
          </w:r>
          <w:r>
            <w:fldChar w:fldCharType="end"/>
          </w:r>
          <w:r>
            <w:fldChar w:fldCharType="end"/>
          </w:r>
        </w:p>
        <w:p>
          <w:pPr>
            <w:pStyle w:val="10"/>
            <w:tabs>
              <w:tab w:val="right" w:leader="dot" w:pos="8856"/>
              <w:tab w:val="clear" w:pos="8846"/>
            </w:tabs>
          </w:pPr>
          <w:r>
            <w:fldChar w:fldCharType="begin"/>
          </w:r>
          <w:r>
            <w:instrText xml:space="preserve"> HYPERLINK \l _Toc10689 </w:instrText>
          </w:r>
          <w:r>
            <w:fldChar w:fldCharType="separate"/>
          </w:r>
          <w:r>
            <w:rPr>
              <w:rFonts w:hint="eastAsia"/>
            </w:rPr>
            <w:t>四、同等学力水平认定的年限要求</w:t>
          </w:r>
          <w:r>
            <w:tab/>
          </w:r>
          <w:r>
            <w:fldChar w:fldCharType="begin"/>
          </w:r>
          <w:r>
            <w:instrText xml:space="preserve"> PAGEREF _Toc10689 </w:instrText>
          </w:r>
          <w:r>
            <w:fldChar w:fldCharType="separate"/>
          </w:r>
          <w:r>
            <w:t>5</w:t>
          </w:r>
          <w:r>
            <w:fldChar w:fldCharType="end"/>
          </w:r>
          <w:r>
            <w:fldChar w:fldCharType="end"/>
          </w:r>
        </w:p>
        <w:p>
          <w:pPr>
            <w:pStyle w:val="10"/>
            <w:tabs>
              <w:tab w:val="right" w:leader="dot" w:pos="8856"/>
              <w:tab w:val="clear" w:pos="8846"/>
            </w:tabs>
          </w:pPr>
          <w:r>
            <w:fldChar w:fldCharType="begin"/>
          </w:r>
          <w:r>
            <w:instrText xml:space="preserve"> HYPERLINK \l _Toc4558 </w:instrText>
          </w:r>
          <w:r>
            <w:fldChar w:fldCharType="separate"/>
          </w:r>
          <w:r>
            <w:rPr>
              <w:rFonts w:hint="eastAsia"/>
            </w:rPr>
            <w:t>五、申请人再次提出学位申请</w:t>
          </w:r>
          <w:r>
            <w:tab/>
          </w:r>
          <w:r>
            <w:fldChar w:fldCharType="begin"/>
          </w:r>
          <w:r>
            <w:instrText xml:space="preserve"> PAGEREF _Toc4558 </w:instrText>
          </w:r>
          <w:r>
            <w:fldChar w:fldCharType="separate"/>
          </w:r>
          <w:r>
            <w:t>5</w:t>
          </w:r>
          <w:r>
            <w:fldChar w:fldCharType="end"/>
          </w:r>
          <w:r>
            <w:fldChar w:fldCharType="end"/>
          </w:r>
        </w:p>
        <w:p>
          <w:pPr>
            <w:pStyle w:val="10"/>
            <w:tabs>
              <w:tab w:val="right" w:leader="dot" w:pos="8856"/>
              <w:tab w:val="clear" w:pos="8846"/>
            </w:tabs>
          </w:pPr>
          <w:r>
            <w:fldChar w:fldCharType="begin"/>
          </w:r>
          <w:r>
            <w:instrText xml:space="preserve"> HYPERLINK \l _Toc21740 </w:instrText>
          </w:r>
          <w:r>
            <w:fldChar w:fldCharType="separate"/>
          </w:r>
          <w:r>
            <w:rPr>
              <w:rFonts w:hint="eastAsia"/>
            </w:rPr>
            <w:t>第三部分  学位论文开题答辩的程序及要求</w:t>
          </w:r>
          <w:r>
            <w:tab/>
          </w:r>
          <w:r>
            <w:fldChar w:fldCharType="begin"/>
          </w:r>
          <w:r>
            <w:instrText xml:space="preserve"> PAGEREF _Toc21740 </w:instrText>
          </w:r>
          <w:r>
            <w:fldChar w:fldCharType="separate"/>
          </w:r>
          <w:r>
            <w:t>6</w:t>
          </w:r>
          <w:r>
            <w:fldChar w:fldCharType="end"/>
          </w:r>
          <w:r>
            <w:fldChar w:fldCharType="end"/>
          </w:r>
        </w:p>
        <w:p>
          <w:pPr>
            <w:pStyle w:val="10"/>
            <w:tabs>
              <w:tab w:val="right" w:leader="dot" w:pos="8856"/>
              <w:tab w:val="clear" w:pos="8846"/>
            </w:tabs>
          </w:pPr>
          <w:r>
            <w:fldChar w:fldCharType="begin"/>
          </w:r>
          <w:r>
            <w:instrText xml:space="preserve"> HYPERLINK \l _Toc8691 </w:instrText>
          </w:r>
          <w:r>
            <w:fldChar w:fldCharType="separate"/>
          </w:r>
          <w:r>
            <w:rPr>
              <w:rFonts w:hint="eastAsia"/>
            </w:rPr>
            <w:t>一、申请人提交开题申请的程序及要求</w:t>
          </w:r>
          <w:r>
            <w:tab/>
          </w:r>
          <w:r>
            <w:fldChar w:fldCharType="begin"/>
          </w:r>
          <w:r>
            <w:instrText xml:space="preserve"> PAGEREF _Toc8691 </w:instrText>
          </w:r>
          <w:r>
            <w:fldChar w:fldCharType="separate"/>
          </w:r>
          <w:r>
            <w:t>6</w:t>
          </w:r>
          <w:r>
            <w:fldChar w:fldCharType="end"/>
          </w:r>
          <w:r>
            <w:fldChar w:fldCharType="end"/>
          </w:r>
        </w:p>
        <w:p>
          <w:pPr>
            <w:pStyle w:val="10"/>
            <w:tabs>
              <w:tab w:val="right" w:leader="dot" w:pos="8856"/>
              <w:tab w:val="clear" w:pos="8846"/>
            </w:tabs>
          </w:pPr>
          <w:r>
            <w:fldChar w:fldCharType="begin"/>
          </w:r>
          <w:r>
            <w:instrText xml:space="preserve"> HYPERLINK \l _Toc7973 </w:instrText>
          </w:r>
          <w:r>
            <w:fldChar w:fldCharType="separate"/>
          </w:r>
          <w:r>
            <w:rPr>
              <w:rFonts w:hint="eastAsia"/>
            </w:rPr>
            <w:t>二、导师审查学位论文的程序及要求</w:t>
          </w:r>
          <w:r>
            <w:tab/>
          </w:r>
          <w:r>
            <w:fldChar w:fldCharType="begin"/>
          </w:r>
          <w:r>
            <w:instrText xml:space="preserve"> PAGEREF _Toc7973 </w:instrText>
          </w:r>
          <w:r>
            <w:fldChar w:fldCharType="separate"/>
          </w:r>
          <w:r>
            <w:t>6</w:t>
          </w:r>
          <w:r>
            <w:fldChar w:fldCharType="end"/>
          </w:r>
          <w:r>
            <w:fldChar w:fldCharType="end"/>
          </w:r>
        </w:p>
        <w:p>
          <w:pPr>
            <w:pStyle w:val="10"/>
            <w:tabs>
              <w:tab w:val="right" w:leader="dot" w:pos="8856"/>
              <w:tab w:val="clear" w:pos="8846"/>
            </w:tabs>
          </w:pPr>
          <w:r>
            <w:fldChar w:fldCharType="begin"/>
          </w:r>
          <w:r>
            <w:instrText xml:space="preserve"> HYPERLINK \l _Toc17517 </w:instrText>
          </w:r>
          <w:r>
            <w:fldChar w:fldCharType="separate"/>
          </w:r>
          <w:r>
            <w:rPr>
              <w:rFonts w:hint="eastAsia"/>
            </w:rPr>
            <w:t>三、学位论文预答辩的程序及要求</w:t>
          </w:r>
          <w:r>
            <w:tab/>
          </w:r>
          <w:r>
            <w:fldChar w:fldCharType="begin"/>
          </w:r>
          <w:r>
            <w:instrText xml:space="preserve"> PAGEREF _Toc17517 </w:instrText>
          </w:r>
          <w:r>
            <w:fldChar w:fldCharType="separate"/>
          </w:r>
          <w:r>
            <w:t>6</w:t>
          </w:r>
          <w:r>
            <w:fldChar w:fldCharType="end"/>
          </w:r>
          <w:r>
            <w:fldChar w:fldCharType="end"/>
          </w:r>
        </w:p>
        <w:p>
          <w:pPr>
            <w:pStyle w:val="10"/>
            <w:tabs>
              <w:tab w:val="right" w:leader="dot" w:pos="8856"/>
              <w:tab w:val="clear" w:pos="8846"/>
            </w:tabs>
          </w:pPr>
          <w:r>
            <w:fldChar w:fldCharType="begin"/>
          </w:r>
          <w:r>
            <w:instrText xml:space="preserve"> HYPERLINK \l _Toc24816 </w:instrText>
          </w:r>
          <w:r>
            <w:fldChar w:fldCharType="separate"/>
          </w:r>
          <w:r>
            <w:rPr>
              <w:rFonts w:hint="eastAsia"/>
            </w:rPr>
            <w:t>四、学位论文评阅的程序及要求</w:t>
          </w:r>
          <w:r>
            <w:tab/>
          </w:r>
          <w:r>
            <w:fldChar w:fldCharType="begin"/>
          </w:r>
          <w:r>
            <w:instrText xml:space="preserve"> PAGEREF _Toc24816 </w:instrText>
          </w:r>
          <w:r>
            <w:fldChar w:fldCharType="separate"/>
          </w:r>
          <w:r>
            <w:t>6</w:t>
          </w:r>
          <w:r>
            <w:fldChar w:fldCharType="end"/>
          </w:r>
          <w:r>
            <w:fldChar w:fldCharType="end"/>
          </w:r>
        </w:p>
        <w:p>
          <w:pPr>
            <w:pStyle w:val="10"/>
            <w:tabs>
              <w:tab w:val="right" w:leader="dot" w:pos="8856"/>
              <w:tab w:val="clear" w:pos="8846"/>
            </w:tabs>
          </w:pPr>
          <w:r>
            <w:fldChar w:fldCharType="begin"/>
          </w:r>
          <w:r>
            <w:instrText xml:space="preserve"> HYPERLINK \l _Toc32131 </w:instrText>
          </w:r>
          <w:r>
            <w:fldChar w:fldCharType="separate"/>
          </w:r>
          <w:r>
            <w:rPr>
              <w:rFonts w:hint="eastAsia"/>
            </w:rPr>
            <w:t>五、学位论文答辩的程序及要求</w:t>
          </w:r>
          <w:r>
            <w:tab/>
          </w:r>
          <w:r>
            <w:fldChar w:fldCharType="begin"/>
          </w:r>
          <w:r>
            <w:instrText xml:space="preserve"> PAGEREF _Toc32131 </w:instrText>
          </w:r>
          <w:r>
            <w:fldChar w:fldCharType="separate"/>
          </w:r>
          <w:r>
            <w:t>6</w:t>
          </w:r>
          <w:r>
            <w:fldChar w:fldCharType="end"/>
          </w:r>
          <w:r>
            <w:fldChar w:fldCharType="end"/>
          </w:r>
        </w:p>
        <w:p>
          <w:pPr>
            <w:pStyle w:val="10"/>
            <w:tabs>
              <w:tab w:val="right" w:leader="dot" w:pos="8856"/>
              <w:tab w:val="clear" w:pos="8846"/>
            </w:tabs>
          </w:pPr>
          <w:r>
            <w:fldChar w:fldCharType="begin"/>
          </w:r>
          <w:r>
            <w:instrText xml:space="preserve"> HYPERLINK \l _Toc19429 </w:instrText>
          </w:r>
          <w:r>
            <w:fldChar w:fldCharType="separate"/>
          </w:r>
          <w:r>
            <w:rPr>
              <w:rFonts w:hint="eastAsia"/>
            </w:rPr>
            <w:t>六、学位论文复制比检测的程序及要求</w:t>
          </w:r>
          <w:r>
            <w:tab/>
          </w:r>
          <w:r>
            <w:fldChar w:fldCharType="begin"/>
          </w:r>
          <w:r>
            <w:instrText xml:space="preserve"> PAGEREF _Toc19429 </w:instrText>
          </w:r>
          <w:r>
            <w:fldChar w:fldCharType="separate"/>
          </w:r>
          <w:r>
            <w:t>6</w:t>
          </w:r>
          <w:r>
            <w:fldChar w:fldCharType="end"/>
          </w:r>
          <w:r>
            <w:fldChar w:fldCharType="end"/>
          </w:r>
        </w:p>
        <w:p>
          <w:pPr>
            <w:pStyle w:val="10"/>
            <w:tabs>
              <w:tab w:val="right" w:leader="dot" w:pos="8856"/>
              <w:tab w:val="clear" w:pos="8846"/>
            </w:tabs>
          </w:pPr>
          <w:r>
            <w:fldChar w:fldCharType="begin"/>
          </w:r>
          <w:r>
            <w:instrText xml:space="preserve"> HYPERLINK \l _Toc17691 </w:instrText>
          </w:r>
          <w:r>
            <w:fldChar w:fldCharType="separate"/>
          </w:r>
          <w:r>
            <w:rPr>
              <w:rFonts w:hint="eastAsia"/>
            </w:rPr>
            <w:t>七、学位论文的基本要求与书写格式</w:t>
          </w:r>
          <w:r>
            <w:tab/>
          </w:r>
          <w:r>
            <w:fldChar w:fldCharType="begin"/>
          </w:r>
          <w:r>
            <w:instrText xml:space="preserve"> PAGEREF _Toc17691 </w:instrText>
          </w:r>
          <w:r>
            <w:fldChar w:fldCharType="separate"/>
          </w:r>
          <w:r>
            <w:t>7</w:t>
          </w:r>
          <w:r>
            <w:fldChar w:fldCharType="end"/>
          </w:r>
          <w:r>
            <w:fldChar w:fldCharType="end"/>
          </w:r>
        </w:p>
        <w:p>
          <w:pPr>
            <w:pStyle w:val="10"/>
            <w:tabs>
              <w:tab w:val="right" w:leader="dot" w:pos="8856"/>
              <w:tab w:val="clear" w:pos="8846"/>
            </w:tabs>
          </w:pPr>
          <w:r>
            <w:fldChar w:fldCharType="begin"/>
          </w:r>
          <w:r>
            <w:instrText xml:space="preserve"> HYPERLINK \l _Toc31320 </w:instrText>
          </w:r>
          <w:r>
            <w:fldChar w:fldCharType="separate"/>
          </w:r>
          <w:r>
            <w:rPr>
              <w:rFonts w:hint="eastAsia"/>
            </w:rPr>
            <w:t>第四部分  学位授予资格审核的程序及要求</w:t>
          </w:r>
          <w:r>
            <w:tab/>
          </w:r>
          <w:r>
            <w:fldChar w:fldCharType="begin"/>
          </w:r>
          <w:r>
            <w:instrText xml:space="preserve"> PAGEREF _Toc31320 </w:instrText>
          </w:r>
          <w:r>
            <w:fldChar w:fldCharType="separate"/>
          </w:r>
          <w:r>
            <w:t>7</w:t>
          </w:r>
          <w:r>
            <w:fldChar w:fldCharType="end"/>
          </w:r>
          <w:r>
            <w:fldChar w:fldCharType="end"/>
          </w:r>
        </w:p>
        <w:p>
          <w:pPr>
            <w:pStyle w:val="10"/>
            <w:tabs>
              <w:tab w:val="right" w:leader="dot" w:pos="8856"/>
              <w:tab w:val="clear" w:pos="8846"/>
            </w:tabs>
          </w:pPr>
          <w:r>
            <w:fldChar w:fldCharType="begin"/>
          </w:r>
          <w:r>
            <w:instrText xml:space="preserve"> HYPERLINK \l _Toc20018 </w:instrText>
          </w:r>
          <w:r>
            <w:fldChar w:fldCharType="separate"/>
          </w:r>
          <w:r>
            <w:rPr>
              <w:rFonts w:hint="eastAsia"/>
              <w:szCs w:val="28"/>
            </w:rPr>
            <w:t>一、学位授予的基本要求</w:t>
          </w:r>
          <w:r>
            <w:tab/>
          </w:r>
          <w:r>
            <w:fldChar w:fldCharType="begin"/>
          </w:r>
          <w:r>
            <w:instrText xml:space="preserve"> PAGEREF _Toc20018 </w:instrText>
          </w:r>
          <w:r>
            <w:fldChar w:fldCharType="separate"/>
          </w:r>
          <w:r>
            <w:t>7</w:t>
          </w:r>
          <w:r>
            <w:fldChar w:fldCharType="end"/>
          </w:r>
          <w:r>
            <w:fldChar w:fldCharType="end"/>
          </w:r>
        </w:p>
        <w:p>
          <w:pPr>
            <w:pStyle w:val="10"/>
            <w:tabs>
              <w:tab w:val="right" w:leader="dot" w:pos="8856"/>
              <w:tab w:val="clear" w:pos="8846"/>
            </w:tabs>
          </w:pPr>
          <w:r>
            <w:fldChar w:fldCharType="begin"/>
          </w:r>
          <w:r>
            <w:instrText xml:space="preserve"> HYPERLINK \l _Toc24387 </w:instrText>
          </w:r>
          <w:r>
            <w:fldChar w:fldCharType="separate"/>
          </w:r>
          <w:r>
            <w:rPr>
              <w:rFonts w:hint="eastAsia"/>
            </w:rPr>
            <w:t>二、学院教授委员会审核程序及要求</w:t>
          </w:r>
          <w:r>
            <w:tab/>
          </w:r>
          <w:r>
            <w:fldChar w:fldCharType="begin"/>
          </w:r>
          <w:r>
            <w:instrText xml:space="preserve"> PAGEREF _Toc24387 </w:instrText>
          </w:r>
          <w:r>
            <w:fldChar w:fldCharType="separate"/>
          </w:r>
          <w:r>
            <w:t>8</w:t>
          </w:r>
          <w:r>
            <w:fldChar w:fldCharType="end"/>
          </w:r>
          <w:r>
            <w:fldChar w:fldCharType="end"/>
          </w:r>
        </w:p>
        <w:p>
          <w:pPr>
            <w:pStyle w:val="10"/>
            <w:tabs>
              <w:tab w:val="right" w:leader="dot" w:pos="8856"/>
              <w:tab w:val="clear" w:pos="8846"/>
            </w:tabs>
          </w:pPr>
          <w:r>
            <w:fldChar w:fldCharType="begin"/>
          </w:r>
          <w:r>
            <w:instrText xml:space="preserve"> HYPERLINK \l _Toc27700 </w:instrText>
          </w:r>
          <w:r>
            <w:fldChar w:fldCharType="separate"/>
          </w:r>
          <w:r>
            <w:rPr>
              <w:rFonts w:hint="eastAsia"/>
            </w:rPr>
            <w:t>三、学部学位评定委员会审核程序及要求</w:t>
          </w:r>
          <w:r>
            <w:tab/>
          </w:r>
          <w:r>
            <w:fldChar w:fldCharType="begin"/>
          </w:r>
          <w:r>
            <w:instrText xml:space="preserve"> PAGEREF _Toc27700 </w:instrText>
          </w:r>
          <w:r>
            <w:fldChar w:fldCharType="separate"/>
          </w:r>
          <w:r>
            <w:t>8</w:t>
          </w:r>
          <w:r>
            <w:fldChar w:fldCharType="end"/>
          </w:r>
          <w:r>
            <w:fldChar w:fldCharType="end"/>
          </w:r>
        </w:p>
        <w:p>
          <w:pPr>
            <w:pStyle w:val="10"/>
            <w:tabs>
              <w:tab w:val="right" w:leader="dot" w:pos="8856"/>
              <w:tab w:val="clear" w:pos="8846"/>
            </w:tabs>
          </w:pPr>
          <w:r>
            <w:fldChar w:fldCharType="begin"/>
          </w:r>
          <w:r>
            <w:instrText xml:space="preserve"> HYPERLINK \l _Toc27362 </w:instrText>
          </w:r>
          <w:r>
            <w:fldChar w:fldCharType="separate"/>
          </w:r>
          <w:r>
            <w:rPr>
              <w:rFonts w:hint="eastAsia"/>
            </w:rPr>
            <w:t>四、校学位评定委员会审核程序及要求</w:t>
          </w:r>
          <w:r>
            <w:tab/>
          </w:r>
          <w:r>
            <w:fldChar w:fldCharType="begin"/>
          </w:r>
          <w:r>
            <w:instrText xml:space="preserve"> PAGEREF _Toc27362 </w:instrText>
          </w:r>
          <w:r>
            <w:fldChar w:fldCharType="separate"/>
          </w:r>
          <w:r>
            <w:t>8</w:t>
          </w:r>
          <w:r>
            <w:fldChar w:fldCharType="end"/>
          </w:r>
          <w:r>
            <w:fldChar w:fldCharType="end"/>
          </w:r>
        </w:p>
        <w:p>
          <w:pPr>
            <w:pStyle w:val="10"/>
            <w:tabs>
              <w:tab w:val="right" w:leader="dot" w:pos="8856"/>
              <w:tab w:val="clear" w:pos="8846"/>
            </w:tabs>
          </w:pPr>
          <w:r>
            <w:fldChar w:fldCharType="begin"/>
          </w:r>
          <w:r>
            <w:instrText xml:space="preserve"> HYPERLINK \l _Toc28358 </w:instrText>
          </w:r>
          <w:r>
            <w:fldChar w:fldCharType="separate"/>
          </w:r>
          <w:r>
            <w:rPr>
              <w:rFonts w:hint="eastAsia"/>
            </w:rPr>
            <w:t>第五部分  学位授予档案归档的程序及要求</w:t>
          </w:r>
          <w:r>
            <w:tab/>
          </w:r>
          <w:r>
            <w:fldChar w:fldCharType="begin"/>
          </w:r>
          <w:r>
            <w:instrText xml:space="preserve"> PAGEREF _Toc28358 </w:instrText>
          </w:r>
          <w:r>
            <w:fldChar w:fldCharType="separate"/>
          </w:r>
          <w:r>
            <w:t>8</w:t>
          </w:r>
          <w:r>
            <w:fldChar w:fldCharType="end"/>
          </w:r>
          <w:r>
            <w:fldChar w:fldCharType="end"/>
          </w:r>
        </w:p>
        <w:p>
          <w:pPr>
            <w:pStyle w:val="10"/>
            <w:tabs>
              <w:tab w:val="right" w:leader="dot" w:pos="8856"/>
              <w:tab w:val="clear" w:pos="8846"/>
            </w:tabs>
          </w:pPr>
          <w:r>
            <w:fldChar w:fldCharType="begin"/>
          </w:r>
          <w:r>
            <w:instrText xml:space="preserve"> HYPERLINK \l _Toc20998 </w:instrText>
          </w:r>
          <w:r>
            <w:fldChar w:fldCharType="separate"/>
          </w:r>
          <w:r>
            <w:rPr>
              <w:rFonts w:hint="eastAsia"/>
            </w:rPr>
            <w:t>第六部分  同等学力申硕年限的界定原则</w:t>
          </w:r>
          <w:r>
            <w:tab/>
          </w:r>
          <w:r>
            <w:fldChar w:fldCharType="begin"/>
          </w:r>
          <w:r>
            <w:instrText xml:space="preserve"> PAGEREF _Toc20998 </w:instrText>
          </w:r>
          <w:r>
            <w:fldChar w:fldCharType="separate"/>
          </w:r>
          <w:r>
            <w:t>8</w:t>
          </w:r>
          <w:r>
            <w:fldChar w:fldCharType="end"/>
          </w:r>
          <w:r>
            <w:fldChar w:fldCharType="end"/>
          </w:r>
        </w:p>
        <w:p>
          <w:pPr>
            <w:pStyle w:val="10"/>
            <w:tabs>
              <w:tab w:val="right" w:leader="dot" w:pos="8856"/>
              <w:tab w:val="clear" w:pos="8846"/>
            </w:tabs>
          </w:pPr>
          <w:r>
            <w:fldChar w:fldCharType="begin"/>
          </w:r>
          <w:r>
            <w:instrText xml:space="preserve"> HYPERLINK \l _Toc20336 </w:instrText>
          </w:r>
          <w:r>
            <w:fldChar w:fldCharType="separate"/>
          </w:r>
          <w:r>
            <w:rPr>
              <w:rFonts w:hint="eastAsia"/>
            </w:rPr>
            <w:t>第七部分  同等学力申硕学费的缴纳标准</w:t>
          </w:r>
          <w:r>
            <w:tab/>
          </w:r>
          <w:r>
            <w:fldChar w:fldCharType="begin"/>
          </w:r>
          <w:r>
            <w:instrText xml:space="preserve"> PAGEREF _Toc20336 </w:instrText>
          </w:r>
          <w:r>
            <w:fldChar w:fldCharType="separate"/>
          </w:r>
          <w:r>
            <w:t>9</w:t>
          </w:r>
          <w:r>
            <w:fldChar w:fldCharType="end"/>
          </w:r>
          <w:r>
            <w:fldChar w:fldCharType="end"/>
          </w:r>
        </w:p>
        <w:p>
          <w:pPr>
            <w:pStyle w:val="10"/>
            <w:tabs>
              <w:tab w:val="right" w:leader="dot" w:pos="8856"/>
              <w:tab w:val="clear" w:pos="8846"/>
            </w:tabs>
          </w:pPr>
          <w:r>
            <w:fldChar w:fldCharType="begin"/>
          </w:r>
          <w:r>
            <w:instrText xml:space="preserve"> HYPERLINK \l _Toc17888 </w:instrText>
          </w:r>
          <w:r>
            <w:fldChar w:fldCharType="separate"/>
          </w:r>
          <w:r>
            <w:rPr>
              <w:rFonts w:hint="eastAsia"/>
            </w:rPr>
            <w:t>第八部分  常见问题解答</w:t>
          </w:r>
          <w:r>
            <w:tab/>
          </w:r>
          <w:r>
            <w:fldChar w:fldCharType="begin"/>
          </w:r>
          <w:r>
            <w:instrText xml:space="preserve"> PAGEREF _Toc17888 </w:instrText>
          </w:r>
          <w:r>
            <w:fldChar w:fldCharType="separate"/>
          </w:r>
          <w:r>
            <w:t>9</w:t>
          </w:r>
          <w:r>
            <w:fldChar w:fldCharType="end"/>
          </w:r>
          <w:r>
            <w:fldChar w:fldCharType="end"/>
          </w:r>
        </w:p>
        <w:p>
          <w:pPr>
            <w:pStyle w:val="10"/>
            <w:tabs>
              <w:tab w:val="right" w:leader="dot" w:pos="8856"/>
              <w:tab w:val="clear" w:pos="8846"/>
            </w:tabs>
          </w:pPr>
          <w:r>
            <w:fldChar w:fldCharType="begin"/>
          </w:r>
          <w:r>
            <w:instrText xml:space="preserve"> HYPERLINK \l _Toc10743 </w:instrText>
          </w:r>
          <w:r>
            <w:fldChar w:fldCharType="separate"/>
          </w:r>
          <w:r>
            <w:rPr>
              <w:rFonts w:hint="eastAsia"/>
            </w:rPr>
            <w:t>一、同等学力申硕的相关年限要求是什么？</w:t>
          </w:r>
          <w:r>
            <w:tab/>
          </w:r>
          <w:r>
            <w:fldChar w:fldCharType="begin"/>
          </w:r>
          <w:r>
            <w:instrText xml:space="preserve"> PAGEREF _Toc10743 </w:instrText>
          </w:r>
          <w:r>
            <w:fldChar w:fldCharType="separate"/>
          </w:r>
          <w:r>
            <w:t>9</w:t>
          </w:r>
          <w:r>
            <w:fldChar w:fldCharType="end"/>
          </w:r>
          <w:r>
            <w:fldChar w:fldCharType="end"/>
          </w:r>
        </w:p>
        <w:p>
          <w:pPr>
            <w:pStyle w:val="10"/>
            <w:tabs>
              <w:tab w:val="right" w:leader="dot" w:pos="8856"/>
              <w:tab w:val="clear" w:pos="8846"/>
            </w:tabs>
          </w:pPr>
          <w:r>
            <w:fldChar w:fldCharType="begin"/>
          </w:r>
          <w:r>
            <w:instrText xml:space="preserve"> HYPERLINK \l _Toc11568 </w:instrText>
          </w:r>
          <w:r>
            <w:fldChar w:fldCharType="separate"/>
          </w:r>
          <w:r>
            <w:rPr>
              <w:rFonts w:hint="eastAsia"/>
            </w:rPr>
            <w:t>二、水平认定程序和开题答辩程序有无先后顺序？</w:t>
          </w:r>
          <w:r>
            <w:tab/>
          </w:r>
          <w:r>
            <w:fldChar w:fldCharType="begin"/>
          </w:r>
          <w:r>
            <w:instrText xml:space="preserve"> PAGEREF _Toc11568 </w:instrText>
          </w:r>
          <w:r>
            <w:fldChar w:fldCharType="separate"/>
          </w:r>
          <w:r>
            <w:t>9</w:t>
          </w:r>
          <w:r>
            <w:fldChar w:fldCharType="end"/>
          </w:r>
          <w:r>
            <w:fldChar w:fldCharType="end"/>
          </w:r>
        </w:p>
        <w:p>
          <w:pPr>
            <w:pStyle w:val="10"/>
            <w:tabs>
              <w:tab w:val="right" w:leader="dot" w:pos="8856"/>
              <w:tab w:val="clear" w:pos="8846"/>
            </w:tabs>
          </w:pPr>
          <w:r>
            <w:fldChar w:fldCharType="begin"/>
          </w:r>
          <w:r>
            <w:instrText xml:space="preserve"> HYPERLINK \l _Toc17401 </w:instrText>
          </w:r>
          <w:r>
            <w:fldChar w:fldCharType="separate"/>
          </w:r>
          <w:r>
            <w:rPr>
              <w:rFonts w:hint="eastAsia"/>
            </w:rPr>
            <w:t>三、导师能否做答辩委员会的主席或委员？</w:t>
          </w:r>
          <w:r>
            <w:tab/>
          </w:r>
          <w:r>
            <w:fldChar w:fldCharType="begin"/>
          </w:r>
          <w:r>
            <w:instrText xml:space="preserve"> PAGEREF _Toc17401 </w:instrText>
          </w:r>
          <w:r>
            <w:fldChar w:fldCharType="separate"/>
          </w:r>
          <w:r>
            <w:t>10</w:t>
          </w:r>
          <w:r>
            <w:fldChar w:fldCharType="end"/>
          </w:r>
          <w:r>
            <w:fldChar w:fldCharType="end"/>
          </w:r>
        </w:p>
        <w:p>
          <w:pPr>
            <w:pStyle w:val="10"/>
            <w:tabs>
              <w:tab w:val="right" w:leader="dot" w:pos="8856"/>
              <w:tab w:val="clear" w:pos="8846"/>
            </w:tabs>
          </w:pPr>
          <w:r>
            <w:fldChar w:fldCharType="begin"/>
          </w:r>
          <w:r>
            <w:instrText xml:space="preserve"> HYPERLINK \l _Toc20852 </w:instrText>
          </w:r>
          <w:r>
            <w:fldChar w:fldCharType="separate"/>
          </w:r>
          <w:r>
            <w:rPr>
              <w:rFonts w:hint="eastAsia"/>
            </w:rPr>
            <w:t>四、答辩委员会委员组成要求是什么？</w:t>
          </w:r>
          <w:r>
            <w:tab/>
          </w:r>
          <w:r>
            <w:fldChar w:fldCharType="begin"/>
          </w:r>
          <w:r>
            <w:instrText xml:space="preserve"> PAGEREF _Toc20852 </w:instrText>
          </w:r>
          <w:r>
            <w:fldChar w:fldCharType="separate"/>
          </w:r>
          <w:r>
            <w:t>10</w:t>
          </w:r>
          <w:r>
            <w:fldChar w:fldCharType="end"/>
          </w:r>
          <w:r>
            <w:fldChar w:fldCharType="end"/>
          </w:r>
          <w:bookmarkEnd w:id="55"/>
        </w:p>
        <w:p>
          <w:pPr>
            <w:pStyle w:val="10"/>
          </w:pPr>
          <w:r>
            <w:fldChar w:fldCharType="end"/>
          </w:r>
        </w:p>
      </w:sdtContent>
    </w:sdt>
    <w:p>
      <w:pPr>
        <w:pStyle w:val="2"/>
        <w:spacing w:line="500" w:lineRule="exact"/>
        <w:jc w:val="center"/>
      </w:pPr>
      <w:bookmarkStart w:id="0" w:name="_Toc422814685"/>
      <w:bookmarkStart w:id="1" w:name="_Toc13222"/>
      <w:r>
        <w:rPr>
          <w:rFonts w:hint="eastAsia"/>
        </w:rPr>
        <w:t>第一部分  学位申请资格审核的程序及要求</w:t>
      </w:r>
      <w:bookmarkEnd w:id="0"/>
      <w:bookmarkEnd w:id="1"/>
    </w:p>
    <w:p>
      <w:pPr>
        <w:pStyle w:val="13"/>
        <w:spacing w:line="500" w:lineRule="exact"/>
        <w:rPr>
          <w:szCs w:val="28"/>
        </w:rPr>
      </w:pPr>
      <w:bookmarkStart w:id="2" w:name="_Toc422814686"/>
      <w:bookmarkStart w:id="3" w:name="_Toc17939"/>
      <w:r>
        <w:rPr>
          <w:rFonts w:hint="eastAsia"/>
        </w:rPr>
        <w:t>一、</w:t>
      </w:r>
      <w:r>
        <w:rPr>
          <w:rFonts w:hint="eastAsia"/>
          <w:szCs w:val="28"/>
        </w:rPr>
        <w:t>学位申请的基本条件</w:t>
      </w:r>
      <w:bookmarkEnd w:id="2"/>
      <w:bookmarkEnd w:id="3"/>
    </w:p>
    <w:p>
      <w:pPr>
        <w:spacing w:line="500" w:lineRule="exact"/>
        <w:ind w:firstLine="555"/>
        <w:jc w:val="left"/>
        <w:rPr>
          <w:rFonts w:ascii="宋体" w:hAnsi="宋体" w:cs="宋体"/>
          <w:szCs w:val="28"/>
        </w:rPr>
      </w:pPr>
      <w:r>
        <w:rPr>
          <w:rFonts w:hint="eastAsia" w:ascii="宋体" w:hAnsi="宋体" w:cs="宋体"/>
          <w:szCs w:val="28"/>
        </w:rPr>
        <w:t>1、同等学力人员申请硕士学术学位须具备以下基本条件：申请人必须已获得学士学位并在获得学士学位后工作三年以上，或虽无学士学位但已获得硕士或博士学位。已获得的学位为国（境）外学位的，必须经教育部留学服务中心认证。</w:t>
      </w:r>
    </w:p>
    <w:p>
      <w:pPr>
        <w:spacing w:line="500" w:lineRule="exact"/>
        <w:ind w:firstLine="555"/>
        <w:jc w:val="left"/>
        <w:rPr>
          <w:rFonts w:ascii="宋体" w:hAnsi="宋体" w:cs="宋体"/>
          <w:szCs w:val="28"/>
        </w:rPr>
      </w:pPr>
      <w:r>
        <w:rPr>
          <w:rFonts w:hint="eastAsia" w:ascii="宋体" w:hAnsi="宋体" w:cs="宋体"/>
          <w:szCs w:val="28"/>
        </w:rPr>
        <w:t>2、同等学力人员申请</w:t>
      </w:r>
      <w:r>
        <w:rPr>
          <w:rFonts w:hint="eastAsia"/>
        </w:rPr>
        <w:t>临床医学、口腔医学硕士专业学位</w:t>
      </w:r>
      <w:r>
        <w:rPr>
          <w:rFonts w:hint="eastAsia" w:ascii="宋体" w:hAnsi="宋体" w:cs="宋体"/>
          <w:szCs w:val="28"/>
        </w:rPr>
        <w:t>须具备以下基本条件：申请人必须是临床医学类、口腔医学类本科毕业生并获得学士学位，</w:t>
      </w:r>
      <w:r>
        <w:rPr>
          <w:rFonts w:hint="eastAsia"/>
        </w:rPr>
        <w:t>且应是正在接受住院医师</w:t>
      </w:r>
      <w:r>
        <w:rPr>
          <w:rFonts w:hint="eastAsia"/>
          <w:szCs w:val="22"/>
        </w:rPr>
        <w:t>规范化培训的住院医师或已获得</w:t>
      </w:r>
      <w:r>
        <w:rPr>
          <w:rFonts w:hint="eastAsia"/>
          <w:szCs w:val="22"/>
          <w:lang w:eastAsia="zh-CN"/>
        </w:rPr>
        <w:t>国家卫生健康委员会统一印制的《住院医师规范化培训合格证书》（证书编号为16位）</w:t>
      </w:r>
      <w:r>
        <w:rPr>
          <w:rFonts w:hint="eastAsia"/>
          <w:szCs w:val="22"/>
        </w:rPr>
        <w:t>的临床医师，申请人申请</w:t>
      </w:r>
      <w:r>
        <w:rPr>
          <w:rFonts w:hint="eastAsia"/>
        </w:rPr>
        <w:t>的专业学位类别应与住院医师规范化招收专业相对应。</w:t>
      </w:r>
    </w:p>
    <w:p>
      <w:pPr>
        <w:pStyle w:val="13"/>
        <w:spacing w:line="500" w:lineRule="exact"/>
      </w:pPr>
      <w:bookmarkStart w:id="4" w:name="_Toc422814687"/>
      <w:bookmarkStart w:id="5" w:name="_Toc32752"/>
      <w:r>
        <w:rPr>
          <w:rFonts w:hint="eastAsia"/>
        </w:rPr>
        <w:t>二、学位申请资格审核的程序要求</w:t>
      </w:r>
      <w:bookmarkEnd w:id="4"/>
      <w:bookmarkEnd w:id="5"/>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szCs w:val="28"/>
        </w:rPr>
      </w:pPr>
      <w:r>
        <w:rPr>
          <w:rFonts w:hint="eastAsia" w:ascii="宋体" w:hAnsi="宋体" w:cs="宋体"/>
          <w:szCs w:val="28"/>
        </w:rPr>
        <w:t xml:space="preserve">    1、每年5月-8月，学院接收拟在我校申请学位的同等学力人员的学位申请，申请人登录同等学力信息平台录入个人信息完成网上报名。学院接收申请及网上报名一般在每年9月1日前完成。</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szCs w:val="28"/>
        </w:rPr>
      </w:pPr>
      <w:r>
        <w:rPr>
          <w:rFonts w:hint="eastAsia" w:ascii="宋体" w:hAnsi="宋体" w:cs="宋体"/>
          <w:szCs w:val="28"/>
        </w:rPr>
        <w:t xml:space="preserve">    2、每年9月，研究生院学位办统一组织进行现场确认工作，进行学位申请资格审核并完成头像和指纹采集工作。研究生院学位办统一组织的现场确认工作一般在10月1日前完成。</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szCs w:val="28"/>
        </w:rPr>
      </w:pPr>
      <w:r>
        <w:rPr>
          <w:rFonts w:hint="eastAsia" w:ascii="宋体" w:hAnsi="宋体" w:cs="宋体"/>
          <w:szCs w:val="28"/>
        </w:rPr>
        <w:t xml:space="preserve">    3、申请人不得同时向两个及以上学位授予单位提出申请。</w:t>
      </w:r>
    </w:p>
    <w:p>
      <w:pPr>
        <w:keepNext w:val="0"/>
        <w:keepLines w:val="0"/>
        <w:pageBreakBefore w:val="0"/>
        <w:widowControl/>
        <w:kinsoku/>
        <w:wordWrap/>
        <w:overflowPunct/>
        <w:topLinePunct w:val="0"/>
        <w:autoSpaceDE/>
        <w:autoSpaceDN/>
        <w:bidi w:val="0"/>
        <w:adjustRightInd/>
        <w:snapToGrid/>
        <w:spacing w:line="500" w:lineRule="exact"/>
        <w:ind w:firstLine="555"/>
        <w:jc w:val="left"/>
        <w:textAlignment w:val="auto"/>
        <w:rPr>
          <w:szCs w:val="28"/>
        </w:rPr>
      </w:pPr>
      <w:r>
        <w:rPr>
          <w:rFonts w:hint="eastAsia" w:ascii="宋体" w:hAnsi="宋体" w:cs="宋体"/>
          <w:szCs w:val="28"/>
        </w:rPr>
        <w:t>4、申请人</w:t>
      </w:r>
      <w:r>
        <w:rPr>
          <w:rFonts w:hint="eastAsia"/>
          <w:szCs w:val="28"/>
        </w:rPr>
        <w:t>完成现场确认并按规定时间缴纳学费后方为通过学位申请资格审核。</w:t>
      </w:r>
    </w:p>
    <w:p>
      <w:pPr>
        <w:keepNext w:val="0"/>
        <w:keepLines w:val="0"/>
        <w:pageBreakBefore w:val="0"/>
        <w:widowControl/>
        <w:kinsoku/>
        <w:wordWrap/>
        <w:overflowPunct/>
        <w:topLinePunct w:val="0"/>
        <w:autoSpaceDE/>
        <w:autoSpaceDN/>
        <w:bidi w:val="0"/>
        <w:adjustRightInd/>
        <w:snapToGrid/>
        <w:spacing w:line="500" w:lineRule="exact"/>
        <w:ind w:firstLine="555"/>
        <w:jc w:val="left"/>
        <w:textAlignment w:val="auto"/>
        <w:rPr>
          <w:rFonts w:ascii="宋体" w:hAnsi="宋体" w:cs="宋体"/>
          <w:szCs w:val="28"/>
        </w:rPr>
      </w:pPr>
      <w:r>
        <w:rPr>
          <w:rFonts w:hint="eastAsia"/>
          <w:szCs w:val="28"/>
        </w:rPr>
        <w:t>5、学院在每年10月底前，向当年通过申请资格审核人员</w:t>
      </w:r>
      <w:r>
        <w:rPr>
          <w:rFonts w:hint="eastAsia"/>
          <w:szCs w:val="28"/>
          <w:lang w:val="en-US" w:eastAsia="zh-CN"/>
        </w:rPr>
        <w:t>发布</w:t>
      </w:r>
      <w:r>
        <w:rPr>
          <w:rFonts w:hint="eastAsia"/>
          <w:szCs w:val="28"/>
        </w:rPr>
        <w:t>同意接受硕士学位申请</w:t>
      </w:r>
      <w:r>
        <w:rPr>
          <w:rFonts w:hint="eastAsia"/>
          <w:szCs w:val="28"/>
          <w:lang w:val="en-US" w:eastAsia="zh-CN"/>
        </w:rPr>
        <w:t>的通知并</w:t>
      </w:r>
      <w:r>
        <w:rPr>
          <w:rFonts w:hint="eastAsia"/>
          <w:szCs w:val="28"/>
        </w:rPr>
        <w:t>组织入学教育，向申请人详细介绍学位申请流程、相关政策要求等。</w:t>
      </w:r>
    </w:p>
    <w:p>
      <w:pPr>
        <w:pStyle w:val="2"/>
        <w:spacing w:line="500" w:lineRule="exact"/>
        <w:jc w:val="center"/>
      </w:pPr>
      <w:bookmarkStart w:id="6" w:name="_Toc20568"/>
      <w:bookmarkStart w:id="7" w:name="_Toc422814688"/>
      <w:r>
        <w:rPr>
          <w:rFonts w:hint="eastAsia"/>
        </w:rPr>
        <w:t>第二部分  同等学力水平认定的程序及要求</w:t>
      </w:r>
      <w:bookmarkEnd w:id="6"/>
      <w:bookmarkEnd w:id="7"/>
    </w:p>
    <w:p>
      <w:pPr>
        <w:pStyle w:val="13"/>
        <w:spacing w:line="500" w:lineRule="exact"/>
      </w:pPr>
      <w:bookmarkStart w:id="8" w:name="_Toc12500"/>
      <w:bookmarkStart w:id="9" w:name="_Toc422814689"/>
      <w:r>
        <w:rPr>
          <w:rFonts w:hint="eastAsia"/>
        </w:rPr>
        <w:t>一、</w:t>
      </w:r>
      <w:r>
        <w:rPr>
          <w:rFonts w:hint="eastAsia"/>
          <w:lang w:val="en-US" w:eastAsia="zh-CN"/>
        </w:rPr>
        <w:t>课程设置及</w:t>
      </w:r>
      <w:r>
        <w:rPr>
          <w:rFonts w:hint="eastAsia"/>
        </w:rPr>
        <w:t>课程学习</w:t>
      </w:r>
      <w:bookmarkEnd w:id="8"/>
      <w:bookmarkEnd w:id="9"/>
    </w:p>
    <w:p>
      <w:pPr>
        <w:keepNext w:val="0"/>
        <w:keepLines w:val="0"/>
        <w:pageBreakBefore w:val="0"/>
        <w:widowControl/>
        <w:kinsoku/>
        <w:wordWrap/>
        <w:overflowPunct/>
        <w:topLinePunct w:val="0"/>
        <w:autoSpaceDE/>
        <w:autoSpaceDN/>
        <w:bidi w:val="0"/>
        <w:adjustRightInd/>
        <w:snapToGrid/>
        <w:spacing w:line="500" w:lineRule="exact"/>
        <w:ind w:firstLine="556"/>
        <w:jc w:val="left"/>
        <w:textAlignment w:val="auto"/>
        <w:rPr>
          <w:rFonts w:hint="eastAsia"/>
        </w:rPr>
      </w:pPr>
      <w:r>
        <w:rPr>
          <w:rFonts w:hint="eastAsia" w:ascii="宋体" w:hAnsi="宋体" w:cs="宋体"/>
          <w:color w:val="000000" w:themeColor="text1"/>
          <w:szCs w:val="28"/>
          <w14:textFill>
            <w14:solidFill>
              <w14:schemeClr w14:val="tx1"/>
            </w14:solidFill>
          </w14:textFill>
        </w:rPr>
        <w:t>学院参照全日制培养方案设置同等学力申硕培养方案，培养方案须在网站公布以供申请人参阅</w:t>
      </w:r>
      <w:r>
        <w:rPr>
          <w:rFonts w:hint="eastAsia" w:ascii="宋体" w:hAnsi="宋体" w:cs="宋体"/>
          <w:color w:val="000000" w:themeColor="text1"/>
          <w:szCs w:val="28"/>
          <w:lang w:eastAsia="zh-CN"/>
          <w14:textFill>
            <w14:solidFill>
              <w14:schemeClr w14:val="tx1"/>
            </w14:solidFill>
          </w14:textFill>
        </w:rPr>
        <w:t>。</w:t>
      </w:r>
      <w:r>
        <w:rPr>
          <w:rFonts w:hint="eastAsia" w:ascii="宋体" w:hAnsi="宋体" w:cs="宋体"/>
          <w:szCs w:val="28"/>
        </w:rPr>
        <w:t>同等学力申硕人员的</w:t>
      </w:r>
      <w:r>
        <w:rPr>
          <w:rFonts w:hint="eastAsia"/>
        </w:rPr>
        <w:t>课程学习</w:t>
      </w:r>
      <w:r>
        <w:rPr>
          <w:rFonts w:hint="eastAsia"/>
          <w:lang w:val="en-US" w:eastAsia="zh-CN"/>
        </w:rPr>
        <w:t>采取线上与线下相结合的混合式教学模式，学院负责线下课程安排，学堂在线负责线上课程安排，部分线上课程辅助有线下专题讲座或主题报告</w:t>
      </w:r>
      <w:r>
        <w:rPr>
          <w:rFonts w:hint="eastAsia"/>
        </w:rPr>
        <w:t>。</w:t>
      </w:r>
    </w:p>
    <w:p>
      <w:pPr>
        <w:pStyle w:val="13"/>
        <w:spacing w:line="500" w:lineRule="exact"/>
      </w:pPr>
      <w:bookmarkStart w:id="10" w:name="_Toc422814690"/>
      <w:bookmarkStart w:id="11" w:name="_Toc30520"/>
      <w:r>
        <w:rPr>
          <w:rFonts w:hint="eastAsia"/>
        </w:rPr>
        <w:t>二、</w:t>
      </w:r>
      <w:bookmarkEnd w:id="10"/>
      <w:r>
        <w:rPr>
          <w:rFonts w:hint="eastAsia"/>
        </w:rPr>
        <w:t>课程水平认定考试</w:t>
      </w:r>
      <w:bookmarkEnd w:id="11"/>
    </w:p>
    <w:p>
      <w:pPr>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hint="eastAsia" w:ascii="宋体" w:hAnsi="宋体" w:eastAsia="宋体" w:cs="宋体"/>
          <w:szCs w:val="28"/>
          <w:lang w:val="en-US" w:eastAsia="zh-CN"/>
        </w:rPr>
      </w:pPr>
      <w:r>
        <w:rPr>
          <w:rFonts w:hint="eastAsia" w:ascii="宋体" w:hAnsi="宋体" w:cs="宋体"/>
          <w:szCs w:val="28"/>
        </w:rPr>
        <w:t>同等学力申硕人员的</w:t>
      </w:r>
      <w:r>
        <w:rPr>
          <w:rFonts w:hint="eastAsia"/>
        </w:rPr>
        <w:t>课程水平认定考试科目，</w:t>
      </w:r>
      <w:r>
        <w:rPr>
          <w:rFonts w:hint="eastAsia" w:ascii="宋体" w:hAnsi="宋体" w:cs="宋体"/>
          <w:szCs w:val="28"/>
        </w:rPr>
        <w:t>参照全日制同一专业课程设置安排。</w:t>
      </w:r>
      <w:r>
        <w:rPr>
          <w:rFonts w:hint="eastAsia" w:ascii="宋体" w:hAnsi="宋体" w:cs="宋体"/>
          <w:szCs w:val="28"/>
          <w:lang w:val="en-US" w:eastAsia="zh-CN"/>
        </w:rPr>
        <w:t>学位申请人员须参加学院或学校组织的线下考试</w:t>
      </w:r>
      <w:r>
        <w:rPr>
          <w:rFonts w:hint="eastAsia" w:ascii="宋体" w:hAnsi="宋体" w:cs="宋体"/>
          <w:szCs w:val="28"/>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cs="宋体"/>
          <w:szCs w:val="28"/>
        </w:rPr>
      </w:pPr>
      <w:r>
        <w:rPr>
          <w:rFonts w:hint="eastAsia" w:ascii="宋体" w:hAnsi="宋体" w:cs="宋体"/>
          <w:szCs w:val="28"/>
          <w:lang w:val="en-US" w:eastAsia="zh-CN"/>
        </w:rPr>
        <w:t>学院负责的课程：</w:t>
      </w:r>
      <w:r>
        <w:rPr>
          <w:rFonts w:hint="eastAsia" w:ascii="宋体" w:hAnsi="宋体" w:cs="宋体"/>
          <w:szCs w:val="28"/>
        </w:rPr>
        <w:t>学院根据申请人数的多少，可以采取与全日制研究生同堂考试，或组织同等学力申硕人员单独考试，学院负责的所有课程水平认定考试均1年组织1次，申请人一般可在1年内完成学院组织的全部课程水平认定考试。学院组织的课程水平认定考试，由学院统一保管考试成绩、告知申请人考试成绩、录入同等学力信息平台，试卷由学院统一保存至少5年。</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cs="宋体"/>
          <w:szCs w:val="28"/>
        </w:rPr>
      </w:pPr>
      <w:r>
        <w:rPr>
          <w:rFonts w:hint="eastAsia" w:ascii="宋体" w:hAnsi="宋体" w:cs="宋体"/>
          <w:szCs w:val="28"/>
          <w:lang w:val="en-US" w:eastAsia="zh-CN"/>
        </w:rPr>
        <w:t>学堂在线负责的课程：由学校统一组织线下考试。</w:t>
      </w:r>
    </w:p>
    <w:p>
      <w:pPr>
        <w:pStyle w:val="13"/>
        <w:spacing w:line="500" w:lineRule="exact"/>
      </w:pPr>
      <w:bookmarkStart w:id="12" w:name="_Toc5554"/>
      <w:bookmarkStart w:id="13" w:name="_Toc422814692"/>
      <w:r>
        <w:rPr>
          <w:rFonts w:hint="eastAsia"/>
        </w:rPr>
        <w:t>三、国家组织的英语（学科综合）水平全国统考</w:t>
      </w:r>
      <w:bookmarkEnd w:id="12"/>
      <w:bookmarkEnd w:id="13"/>
    </w:p>
    <w:p>
      <w:pPr>
        <w:spacing w:line="500" w:lineRule="exact"/>
        <w:jc w:val="left"/>
        <w:rPr>
          <w:rFonts w:ascii="宋体" w:hAnsi="宋体" w:cs="宋体"/>
          <w:szCs w:val="28"/>
        </w:rPr>
      </w:pPr>
      <w:r>
        <w:rPr>
          <w:rFonts w:hint="eastAsia" w:ascii="宋体" w:hAnsi="宋体" w:cs="宋体"/>
          <w:szCs w:val="28"/>
        </w:rPr>
        <w:t xml:space="preserve">    国家每年3月组织英语（学科综合）水平全国统考报名，每年5月底组织英语（学科综合）水平全国统考考试。统考报名由研究生院学位办接国家通知后发布具体时间和程序要求，由学院通知申请人相关事宜；统考考试由国家统一组织，申请人考前需查看同等学力信息平台发布的信息，凭同等学力信息平台下载的准考证参加考试。每年8月同等学力信息平台发布全国统考成绩，由申请人自行登录同等学力信息平台查询并打印统考成绩。</w:t>
      </w:r>
    </w:p>
    <w:p>
      <w:pPr>
        <w:pStyle w:val="13"/>
        <w:spacing w:line="500" w:lineRule="exact"/>
      </w:pPr>
      <w:bookmarkStart w:id="14" w:name="_Toc10689"/>
      <w:bookmarkStart w:id="15" w:name="_Toc422814693"/>
      <w:r>
        <w:rPr>
          <w:rFonts w:hint="eastAsia"/>
        </w:rPr>
        <w:t>四、同等学力水平认定的年限要求</w:t>
      </w:r>
      <w:bookmarkEnd w:id="14"/>
      <w:bookmarkEnd w:id="15"/>
    </w:p>
    <w:p>
      <w:pPr>
        <w:spacing w:line="500" w:lineRule="exact"/>
        <w:ind w:firstLine="570"/>
        <w:jc w:val="left"/>
        <w:rPr>
          <w:rFonts w:ascii="宋体" w:hAnsi="宋体" w:cs="宋体"/>
          <w:szCs w:val="28"/>
        </w:rPr>
      </w:pPr>
      <w:r>
        <w:rPr>
          <w:rFonts w:hint="eastAsia" w:ascii="宋体" w:hAnsi="宋体" w:cs="宋体"/>
          <w:szCs w:val="28"/>
        </w:rPr>
        <w:t>申请人自通过学位申请资格审核之日起，必须在4年内通过课程水平认定考试及国家组织的英语（学科综合）统考考试。4年内未通过者，本次申请无效。</w:t>
      </w:r>
    </w:p>
    <w:p>
      <w:pPr>
        <w:pStyle w:val="13"/>
        <w:spacing w:line="500" w:lineRule="exact"/>
      </w:pPr>
      <w:bookmarkStart w:id="16" w:name="_Toc4558"/>
      <w:r>
        <w:rPr>
          <w:rFonts w:hint="eastAsia"/>
        </w:rPr>
        <w:t>五、申请人再次提出学位申请</w:t>
      </w:r>
      <w:bookmarkEnd w:id="16"/>
    </w:p>
    <w:p>
      <w:pPr>
        <w:spacing w:line="500" w:lineRule="exact"/>
        <w:ind w:firstLine="570"/>
        <w:jc w:val="left"/>
        <w:rPr>
          <w:rFonts w:ascii="宋体" w:hAnsi="宋体" w:cs="宋体"/>
          <w:szCs w:val="28"/>
        </w:rPr>
      </w:pPr>
      <w:r>
        <w:rPr>
          <w:rFonts w:hint="eastAsia" w:ascii="宋体" w:hAnsi="宋体" w:cs="宋体"/>
          <w:szCs w:val="28"/>
        </w:rPr>
        <w:t>申请人4年内自愿放弃申请或因超年限被迫放弃申请后，可重新向郑州大学提出学位申请，但之前所有已完成程序均作废。</w:t>
      </w:r>
    </w:p>
    <w:p>
      <w:pPr>
        <w:pStyle w:val="2"/>
        <w:spacing w:line="500" w:lineRule="exact"/>
        <w:jc w:val="center"/>
      </w:pPr>
      <w:bookmarkStart w:id="17" w:name="_Toc422814694"/>
      <w:bookmarkStart w:id="18" w:name="_Toc21740"/>
      <w:r>
        <w:rPr>
          <w:rFonts w:hint="eastAsia"/>
        </w:rPr>
        <w:t>第三部分  学位论文开题答辩的程序及要求</w:t>
      </w:r>
      <w:bookmarkEnd w:id="17"/>
      <w:bookmarkEnd w:id="18"/>
    </w:p>
    <w:p>
      <w:pPr>
        <w:pStyle w:val="13"/>
        <w:spacing w:line="500" w:lineRule="exact"/>
      </w:pPr>
      <w:bookmarkStart w:id="19" w:name="_Toc422814695"/>
      <w:bookmarkStart w:id="20" w:name="_Toc8691"/>
      <w:r>
        <w:rPr>
          <w:rFonts w:hint="eastAsia"/>
        </w:rPr>
        <w:t>一、申请人提交开题申请的程序及要求</w:t>
      </w:r>
      <w:bookmarkEnd w:id="19"/>
      <w:bookmarkEnd w:id="20"/>
    </w:p>
    <w:p>
      <w:pPr>
        <w:spacing w:line="500" w:lineRule="exact"/>
        <w:jc w:val="left"/>
        <w:rPr>
          <w:rFonts w:ascii="宋体" w:hAnsi="宋体" w:cs="宋体"/>
          <w:szCs w:val="28"/>
        </w:rPr>
      </w:pPr>
      <w:r>
        <w:rPr>
          <w:rFonts w:hint="eastAsia" w:ascii="宋体" w:hAnsi="宋体" w:cs="宋体"/>
          <w:szCs w:val="28"/>
        </w:rPr>
        <w:t xml:space="preserve">    申请人在学位申请资格审核通过后，即可向学院提交开题申请，由学院统一安排开题事宜。自开题通过之日起至答辩通过之日止，学位论文写作时间不得少于1年。</w:t>
      </w:r>
    </w:p>
    <w:p>
      <w:pPr>
        <w:pStyle w:val="13"/>
        <w:spacing w:line="500" w:lineRule="exact"/>
      </w:pPr>
      <w:bookmarkStart w:id="21" w:name="_Toc422814696"/>
      <w:bookmarkStart w:id="22" w:name="_Toc7973"/>
      <w:r>
        <w:rPr>
          <w:rFonts w:hint="eastAsia"/>
        </w:rPr>
        <w:t>二、导师审查学位论文的程序及要求</w:t>
      </w:r>
      <w:bookmarkEnd w:id="21"/>
      <w:bookmarkEnd w:id="22"/>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szCs w:val="28"/>
        </w:rPr>
      </w:pPr>
      <w:r>
        <w:rPr>
          <w:rFonts w:hint="eastAsia" w:ascii="宋体" w:hAnsi="宋体" w:cs="宋体"/>
          <w:szCs w:val="28"/>
        </w:rPr>
        <w:t xml:space="preserve">    申请人完成学位论文撰写后提交给导师审查，导师认为学位论文水平达到学位申请条件后，申请人方能提交学位论文预答辩申请。</w:t>
      </w:r>
    </w:p>
    <w:p>
      <w:pPr>
        <w:pStyle w:val="13"/>
        <w:spacing w:line="500" w:lineRule="exact"/>
      </w:pPr>
      <w:bookmarkStart w:id="23" w:name="_Toc422814697"/>
      <w:bookmarkStart w:id="24" w:name="_Toc17517"/>
      <w:r>
        <w:rPr>
          <w:rFonts w:hint="eastAsia"/>
        </w:rPr>
        <w:t>三、学位论文预答辩的程序及要求</w:t>
      </w:r>
      <w:bookmarkEnd w:id="23"/>
      <w:bookmarkEnd w:id="24"/>
    </w:p>
    <w:p>
      <w:pPr>
        <w:spacing w:line="500" w:lineRule="exact"/>
        <w:jc w:val="left"/>
        <w:rPr>
          <w:rFonts w:ascii="宋体" w:hAnsi="宋体" w:cs="宋体"/>
          <w:szCs w:val="28"/>
        </w:rPr>
      </w:pPr>
      <w:r>
        <w:rPr>
          <w:rFonts w:hint="eastAsia" w:ascii="宋体" w:hAnsi="宋体" w:cs="宋体"/>
          <w:szCs w:val="28"/>
        </w:rPr>
        <w:t xml:space="preserve">    每年3月1日、10月1日前，申请人可向学院提交学位论文预答辩申请，由学院统一安排预答辩。</w:t>
      </w:r>
    </w:p>
    <w:p>
      <w:pPr>
        <w:pStyle w:val="13"/>
        <w:spacing w:line="500" w:lineRule="exact"/>
      </w:pPr>
      <w:bookmarkStart w:id="25" w:name="_Toc24816"/>
      <w:bookmarkStart w:id="26" w:name="_Toc422814698"/>
      <w:r>
        <w:rPr>
          <w:rFonts w:hint="eastAsia"/>
        </w:rPr>
        <w:t>四、学位论文评阅的程序及要求</w:t>
      </w:r>
      <w:bookmarkEnd w:id="25"/>
      <w:bookmarkEnd w:id="26"/>
    </w:p>
    <w:p>
      <w:pPr>
        <w:spacing w:line="500" w:lineRule="exact"/>
        <w:rPr>
          <w:rFonts w:ascii="宋体" w:hAnsi="宋体" w:cs="宋体"/>
          <w:szCs w:val="28"/>
        </w:rPr>
      </w:pPr>
      <w:r>
        <w:rPr>
          <w:rFonts w:hint="eastAsia" w:ascii="宋体" w:hAnsi="宋体" w:cs="宋体"/>
          <w:szCs w:val="28"/>
        </w:rPr>
        <w:t xml:space="preserve">    每年3月、10月，学校组织安排两次学位论文评阅工作。学院汇总提交已通过预答辩拟进行答辩的申请人名单，研究生院学位办负责按一定比例抽取公布盲评名单，学院负责根据盲评名单统一送校外专家评阅。盲评工作要求按照《</w:t>
      </w:r>
      <w:r>
        <w:rPr>
          <w:rFonts w:ascii="宋体" w:hAnsi="宋体" w:cs="宋体"/>
          <w:szCs w:val="28"/>
        </w:rPr>
        <w:t>郑州大学</w:t>
      </w:r>
      <w:r>
        <w:rPr>
          <w:rFonts w:hint="eastAsia" w:ascii="宋体" w:hAnsi="宋体" w:cs="宋体"/>
          <w:szCs w:val="28"/>
        </w:rPr>
        <w:t>硕士、博士</w:t>
      </w:r>
      <w:r>
        <w:rPr>
          <w:rFonts w:ascii="宋体" w:hAnsi="宋体" w:cs="宋体"/>
          <w:szCs w:val="28"/>
        </w:rPr>
        <w:t>学位论文双盲评阅</w:t>
      </w:r>
      <w:r>
        <w:rPr>
          <w:rFonts w:hint="eastAsia" w:ascii="宋体" w:hAnsi="宋体" w:cs="宋体"/>
          <w:szCs w:val="28"/>
        </w:rPr>
        <w:t>管理</w:t>
      </w:r>
      <w:r>
        <w:rPr>
          <w:rFonts w:ascii="宋体" w:hAnsi="宋体" w:cs="宋体"/>
          <w:szCs w:val="28"/>
        </w:rPr>
        <w:t>办法</w:t>
      </w:r>
      <w:r>
        <w:rPr>
          <w:rFonts w:hint="eastAsia" w:ascii="宋体" w:hAnsi="宋体" w:cs="宋体"/>
          <w:szCs w:val="28"/>
        </w:rPr>
        <w:t>》规定执行，盲评不通过者不能参加论文答辩。</w:t>
      </w:r>
    </w:p>
    <w:p>
      <w:pPr>
        <w:pStyle w:val="13"/>
        <w:spacing w:line="500" w:lineRule="exact"/>
      </w:pPr>
      <w:bookmarkStart w:id="27" w:name="_Toc422814699"/>
      <w:bookmarkStart w:id="28" w:name="_Toc32131"/>
      <w:r>
        <w:rPr>
          <w:rFonts w:hint="eastAsia"/>
        </w:rPr>
        <w:t>五、学位论文答辩的程序及要求</w:t>
      </w:r>
      <w:bookmarkEnd w:id="27"/>
      <w:bookmarkEnd w:id="28"/>
    </w:p>
    <w:p>
      <w:pPr>
        <w:spacing w:line="500" w:lineRule="exact"/>
        <w:jc w:val="left"/>
        <w:rPr>
          <w:rFonts w:ascii="宋体" w:hAnsi="宋体" w:cs="宋体"/>
          <w:szCs w:val="28"/>
        </w:rPr>
      </w:pPr>
      <w:r>
        <w:rPr>
          <w:rFonts w:hint="eastAsia" w:ascii="宋体" w:hAnsi="宋体" w:cs="宋体"/>
          <w:szCs w:val="28"/>
        </w:rPr>
        <w:t xml:space="preserve">    每年5月1日、12月1日前，申请人可向学院提交论文答辩申请。学院统一汇总申请人的答辩申请，将预答辩表和答辩呈报表提交研究生院学位办，领取审核通过的申请人的答辩表决票并安排答辩。</w:t>
      </w:r>
    </w:p>
    <w:p>
      <w:pPr>
        <w:pStyle w:val="13"/>
        <w:spacing w:line="500" w:lineRule="exact"/>
      </w:pPr>
      <w:bookmarkStart w:id="29" w:name="_Toc422814700"/>
      <w:bookmarkStart w:id="30" w:name="_Toc19429"/>
      <w:r>
        <w:rPr>
          <w:rFonts w:hint="eastAsia"/>
        </w:rPr>
        <w:t>六、学位论文复制比检测的程序及要求</w:t>
      </w:r>
      <w:bookmarkEnd w:id="29"/>
      <w:bookmarkEnd w:id="30"/>
    </w:p>
    <w:p>
      <w:pPr>
        <w:spacing w:line="500" w:lineRule="exact"/>
        <w:jc w:val="left"/>
        <w:rPr>
          <w:rFonts w:ascii="宋体" w:hAnsi="宋体" w:cs="宋体"/>
          <w:szCs w:val="28"/>
        </w:rPr>
      </w:pPr>
      <w:r>
        <w:rPr>
          <w:rFonts w:hint="eastAsia" w:ascii="宋体" w:hAnsi="宋体" w:cs="宋体"/>
          <w:szCs w:val="28"/>
        </w:rPr>
        <w:t xml:space="preserve">    学校在预答辩前和教授委员会召开前进行初检和终检2次学位论文复制比检测。初检结果仅供修改论文时参考，不作为能否答辩及授学位的依据；终检结果供教授委员会审核学位使用，终检结果超标者一般应延期授学位。</w:t>
      </w:r>
    </w:p>
    <w:p>
      <w:pPr>
        <w:pStyle w:val="13"/>
        <w:spacing w:line="500" w:lineRule="exact"/>
      </w:pPr>
      <w:bookmarkStart w:id="31" w:name="_Toc422814701"/>
      <w:bookmarkStart w:id="32" w:name="_Toc17691"/>
      <w:r>
        <w:rPr>
          <w:rFonts w:hint="eastAsia"/>
        </w:rPr>
        <w:t>七、学位论文的基本要求与书写格式</w:t>
      </w:r>
      <w:bookmarkEnd w:id="31"/>
      <w:bookmarkEnd w:id="32"/>
    </w:p>
    <w:p>
      <w:pPr>
        <w:spacing w:line="500" w:lineRule="exact"/>
        <w:rPr>
          <w:rFonts w:ascii="宋体" w:hAnsi="宋体" w:cs="宋体"/>
          <w:szCs w:val="28"/>
        </w:rPr>
      </w:pPr>
      <w:r>
        <w:rPr>
          <w:rFonts w:hint="eastAsia" w:ascii="宋体" w:hAnsi="宋体" w:cs="宋体"/>
          <w:szCs w:val="28"/>
        </w:rPr>
        <w:t xml:space="preserve">    硕士学位论文字数一般不少于3万字（专业学位论文等特殊类别按相关规定执行），基本要求与书写格式严格按照《郑州大学博士、硕士学位论文写作规范》执行，《郑州大学博士、硕士学位论文写作规范》可从研究生院网站下载。</w:t>
      </w:r>
    </w:p>
    <w:p>
      <w:pPr>
        <w:pStyle w:val="2"/>
        <w:spacing w:line="500" w:lineRule="exact"/>
        <w:jc w:val="center"/>
      </w:pPr>
      <w:bookmarkStart w:id="33" w:name="_Toc422814702"/>
      <w:bookmarkStart w:id="34" w:name="_Toc31320"/>
      <w:r>
        <w:rPr>
          <w:rFonts w:hint="eastAsia"/>
        </w:rPr>
        <w:t>第四部分  学位授予资格审核的程序及要求</w:t>
      </w:r>
      <w:bookmarkEnd w:id="33"/>
      <w:bookmarkEnd w:id="34"/>
    </w:p>
    <w:p>
      <w:pPr>
        <w:pStyle w:val="13"/>
        <w:spacing w:line="500" w:lineRule="exact"/>
        <w:rPr>
          <w:szCs w:val="28"/>
        </w:rPr>
      </w:pPr>
      <w:bookmarkStart w:id="35" w:name="_Toc20018"/>
      <w:r>
        <w:rPr>
          <w:rFonts w:hint="eastAsia"/>
          <w:szCs w:val="28"/>
        </w:rPr>
        <w:t>一、学位授予的基本要求</w:t>
      </w:r>
      <w:bookmarkEnd w:id="35"/>
    </w:p>
    <w:p>
      <w:pPr>
        <w:spacing w:line="500" w:lineRule="exact"/>
      </w:pPr>
      <w:r>
        <w:rPr>
          <w:rFonts w:hint="eastAsia"/>
        </w:rPr>
        <w:t xml:space="preserve">    1、学位授予的年限要求</w:t>
      </w:r>
    </w:p>
    <w:p>
      <w:pPr>
        <w:spacing w:line="500" w:lineRule="exact"/>
        <w:jc w:val="left"/>
        <w:rPr>
          <w:rFonts w:ascii="宋体" w:hAnsi="宋体" w:cs="宋体"/>
          <w:szCs w:val="28"/>
        </w:rPr>
      </w:pPr>
      <w:r>
        <w:rPr>
          <w:rFonts w:hint="eastAsia"/>
        </w:rPr>
        <w:t xml:space="preserve">    学位授予资格审核时，需满足以下基本要求：</w:t>
      </w:r>
      <w:r>
        <w:rPr>
          <w:rFonts w:hint="eastAsia" w:ascii="宋体" w:hAnsi="宋体" w:cs="宋体"/>
          <w:szCs w:val="28"/>
        </w:rPr>
        <w:t>申请人自通过学位申请资格审核之日起，必须在4年内通过课程水平认定考试及国家组织的英语（学科综合）统考考试。申请人自通过学位申请资格审核之日起，必须在5年内完成学位论文、通过答辩并获得学位。从学位申请资格审核通过起至学位授予止，时间跨度不得超过5年，5年内未完成者，本次申请无效。</w:t>
      </w:r>
    </w:p>
    <w:p>
      <w:pPr>
        <w:spacing w:line="500" w:lineRule="exact"/>
      </w:pPr>
      <w:r>
        <w:rPr>
          <w:rFonts w:hint="eastAsia"/>
        </w:rPr>
        <w:t xml:space="preserve">    2、学位授予的学术要求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Times New Roman" w:hAnsi="Times New Roman" w:eastAsia="宋体" w:cs="Times New Roman"/>
          <w:b w:val="0"/>
          <w:bCs w:val="0"/>
          <w:kern w:val="2"/>
          <w:sz w:val="28"/>
          <w:szCs w:val="22"/>
          <w:lang w:val="en-US" w:eastAsia="zh-CN" w:bidi="ar-SA"/>
        </w:rPr>
      </w:pPr>
      <w:r>
        <w:rPr>
          <w:rFonts w:hint="eastAsia" w:ascii="宋体" w:hAnsi="宋体" w:cs="宋体"/>
          <w:b w:val="0"/>
          <w:bCs w:val="0"/>
          <w:color w:val="FF0000"/>
          <w:kern w:val="2"/>
          <w:sz w:val="28"/>
          <w:szCs w:val="28"/>
          <w:lang w:val="en-US" w:eastAsia="zh-CN" w:bidi="ar-SA"/>
        </w:rPr>
        <w:t xml:space="preserve">  </w:t>
      </w:r>
      <w:r>
        <w:rPr>
          <w:rFonts w:hint="eastAsia" w:ascii="宋体" w:hAnsi="宋体" w:eastAsia="宋体" w:cs="宋体"/>
          <w:b w:val="0"/>
          <w:bCs w:val="0"/>
          <w:kern w:val="2"/>
          <w:sz w:val="28"/>
          <w:szCs w:val="28"/>
          <w:lang w:val="en-US" w:eastAsia="zh-CN" w:bidi="ar-SA"/>
        </w:rPr>
        <w:t xml:space="preserve">  </w:t>
      </w:r>
      <w:bookmarkStart w:id="36" w:name="_Toc13668"/>
      <w:r>
        <w:rPr>
          <w:rFonts w:hint="eastAsia" w:ascii="Times New Roman" w:hAnsi="Times New Roman" w:eastAsia="宋体" w:cs="Times New Roman"/>
          <w:b w:val="0"/>
          <w:bCs w:val="0"/>
          <w:kern w:val="2"/>
          <w:sz w:val="28"/>
          <w:szCs w:val="22"/>
          <w:lang w:val="en-US" w:eastAsia="zh-CN" w:bidi="ar-SA"/>
        </w:rPr>
        <w:t>申请人发表学术论文要求按照同级全日制硕士研究生发表学术论文要求执行，具体参见郑州大学及各学院研究生在学期间发表学术论文基本要求。学位授予资格审核时，没有达到相应要求者，不予通过学位授予资格审核。</w:t>
      </w:r>
      <w:bookmarkEnd w:id="36"/>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szCs w:val="28"/>
        </w:rPr>
      </w:pPr>
      <w:r>
        <w:rPr>
          <w:rFonts w:hint="eastAsia" w:ascii="宋体" w:hAnsi="宋体" w:cs="宋体"/>
          <w:szCs w:val="28"/>
        </w:rPr>
        <w:t xml:space="preserve">    申请人在学校和国家组织的考试中，不得有考试违纪作弊等学术失范行为，否则本次申请无效。</w:t>
      </w:r>
    </w:p>
    <w:p>
      <w:pPr>
        <w:spacing w:line="500" w:lineRule="exact"/>
      </w:pPr>
      <w:r>
        <w:rPr>
          <w:rFonts w:hint="eastAsia"/>
        </w:rPr>
        <w:t xml:space="preserve">    3、专业学位的考核要求</w:t>
      </w:r>
    </w:p>
    <w:p>
      <w:pPr>
        <w:spacing w:line="500" w:lineRule="exact"/>
        <w:rPr>
          <w:rFonts w:hint="eastAsia" w:ascii="Times New Roman" w:hAnsi="Times New Roman" w:eastAsia="宋体" w:cs="Times New Roman"/>
          <w:b w:val="0"/>
          <w:bCs w:val="0"/>
          <w:kern w:val="2"/>
          <w:sz w:val="28"/>
          <w:szCs w:val="22"/>
          <w:lang w:val="en-US" w:eastAsia="zh-CN" w:bidi="ar-SA"/>
        </w:rPr>
      </w:pPr>
      <w:r>
        <w:rPr>
          <w:rFonts w:hint="eastAsia"/>
        </w:rPr>
        <w:t xml:space="preserve">    </w:t>
      </w:r>
      <w:r>
        <w:rPr>
          <w:rFonts w:hint="eastAsia" w:ascii="Times New Roman" w:hAnsi="Times New Roman" w:eastAsia="宋体" w:cs="Times New Roman"/>
          <w:b w:val="0"/>
          <w:bCs w:val="0"/>
          <w:kern w:val="2"/>
          <w:sz w:val="28"/>
          <w:szCs w:val="22"/>
          <w:lang w:val="en-US" w:eastAsia="zh-CN" w:bidi="ar-SA"/>
        </w:rPr>
        <w:t>临床医学、口腔医学专业学位的申请人除满足以上要求外，还须通过临床能力考核方可通过学位授予资格审核。在省级以上卫生计生行政部门（含中医药管理部门）公布的住院医师规范化培训基地完成住院医师规范化培训并取得医师资格证书和</w:t>
      </w:r>
      <w:r>
        <w:rPr>
          <w:rFonts w:hint="eastAsia"/>
          <w:szCs w:val="22"/>
          <w:lang w:eastAsia="zh-CN"/>
        </w:rPr>
        <w:t>国家卫生健康委员会统一印制的《住院医师规范化培训合格证书》（证书编号为16位）</w:t>
      </w:r>
      <w:r>
        <w:rPr>
          <w:rFonts w:hint="eastAsia"/>
          <w:szCs w:val="22"/>
          <w:lang w:val="en-US" w:eastAsia="zh-CN"/>
        </w:rPr>
        <w:t>的</w:t>
      </w:r>
      <w:r>
        <w:rPr>
          <w:rFonts w:hint="eastAsia" w:ascii="Times New Roman" w:hAnsi="Times New Roman" w:eastAsia="宋体" w:cs="Times New Roman"/>
          <w:b w:val="0"/>
          <w:bCs w:val="0"/>
          <w:kern w:val="2"/>
          <w:sz w:val="28"/>
          <w:szCs w:val="22"/>
          <w:lang w:val="en-US" w:eastAsia="zh-CN" w:bidi="ar-SA"/>
        </w:rPr>
        <w:t>，视为通过临床能力考核。</w:t>
      </w:r>
    </w:p>
    <w:p>
      <w:pPr>
        <w:pStyle w:val="13"/>
        <w:spacing w:line="500" w:lineRule="exact"/>
      </w:pPr>
      <w:bookmarkStart w:id="37" w:name="_Toc24387"/>
      <w:r>
        <w:rPr>
          <w:rFonts w:hint="eastAsia"/>
        </w:rPr>
        <w:t>二、学院教授委员会审核程序及要求</w:t>
      </w:r>
      <w:bookmarkEnd w:id="37"/>
    </w:p>
    <w:p>
      <w:pPr>
        <w:spacing w:line="500" w:lineRule="exact"/>
        <w:jc w:val="left"/>
        <w:rPr>
          <w:rFonts w:ascii="宋体" w:hAnsi="宋体" w:cs="宋体"/>
          <w:szCs w:val="28"/>
        </w:rPr>
      </w:pPr>
      <w:r>
        <w:rPr>
          <w:rFonts w:hint="eastAsia" w:ascii="宋体" w:hAnsi="宋体" w:cs="宋体"/>
          <w:szCs w:val="28"/>
        </w:rPr>
        <w:t xml:space="preserve">    学院每年5月底、12月底召开教授委员会会议，依据学院教授委员会职能，完成学位授予资格的学院审核。</w:t>
      </w:r>
    </w:p>
    <w:p>
      <w:pPr>
        <w:pStyle w:val="13"/>
        <w:spacing w:line="500" w:lineRule="exact"/>
      </w:pPr>
      <w:bookmarkStart w:id="38" w:name="_Toc27700"/>
      <w:r>
        <w:rPr>
          <w:rFonts w:hint="eastAsia"/>
        </w:rPr>
        <w:t>三、学部学位评定委员会审核程序及要求</w:t>
      </w:r>
      <w:bookmarkEnd w:id="38"/>
    </w:p>
    <w:p>
      <w:pPr>
        <w:spacing w:line="500" w:lineRule="exact"/>
        <w:jc w:val="left"/>
        <w:rPr>
          <w:rFonts w:ascii="宋体" w:hAnsi="宋体" w:cs="宋体"/>
          <w:szCs w:val="28"/>
        </w:rPr>
      </w:pPr>
      <w:r>
        <w:rPr>
          <w:rFonts w:hint="eastAsia" w:ascii="宋体" w:hAnsi="宋体" w:cs="宋体"/>
          <w:szCs w:val="28"/>
        </w:rPr>
        <w:t xml:space="preserve">    学校每年6月初、1月初召开学部学位评定委员会会议，依据学部学位评定委员会职能，完成学位授予资格的学部审核。</w:t>
      </w:r>
    </w:p>
    <w:p>
      <w:pPr>
        <w:spacing w:line="500" w:lineRule="exact"/>
        <w:jc w:val="left"/>
        <w:rPr>
          <w:rFonts w:ascii="宋体" w:hAnsi="宋体" w:cs="宋体"/>
          <w:szCs w:val="28"/>
        </w:rPr>
      </w:pPr>
      <w:r>
        <w:rPr>
          <w:rFonts w:hint="eastAsia" w:ascii="宋体" w:hAnsi="宋体" w:cs="宋体"/>
          <w:szCs w:val="28"/>
        </w:rPr>
        <w:t xml:space="preserve">    学院教授委员会会议召开后至学部学位评定委员会会议召开前，学院应将申请人的学历学位证书原件、外语和学科综合合格证书编号、发表的学术论文期刊原件、</w:t>
      </w:r>
      <w:r>
        <w:rPr>
          <w:rFonts w:hint="eastAsia"/>
        </w:rPr>
        <w:t>医师资格证书、住院医师规范化培训合格证书</w:t>
      </w:r>
      <w:r>
        <w:rPr>
          <w:rFonts w:hint="eastAsia" w:ascii="宋体" w:hAnsi="宋体" w:cs="宋体"/>
          <w:szCs w:val="28"/>
        </w:rPr>
        <w:t>提交研究生院学位办。</w:t>
      </w:r>
    </w:p>
    <w:p>
      <w:pPr>
        <w:pStyle w:val="13"/>
        <w:spacing w:line="500" w:lineRule="exact"/>
      </w:pPr>
      <w:bookmarkStart w:id="39" w:name="_Toc27362"/>
      <w:r>
        <w:rPr>
          <w:rFonts w:hint="eastAsia"/>
        </w:rPr>
        <w:t>四、校学位评定委员会审核程序及要求</w:t>
      </w:r>
      <w:bookmarkEnd w:id="39"/>
    </w:p>
    <w:p>
      <w:pPr>
        <w:spacing w:line="500" w:lineRule="exact"/>
        <w:jc w:val="left"/>
        <w:rPr>
          <w:rFonts w:ascii="宋体" w:hAnsi="宋体" w:cs="宋体"/>
          <w:szCs w:val="28"/>
        </w:rPr>
      </w:pPr>
      <w:r>
        <w:rPr>
          <w:rFonts w:hint="eastAsia" w:ascii="宋体" w:hAnsi="宋体" w:cs="宋体"/>
          <w:szCs w:val="28"/>
        </w:rPr>
        <w:t xml:space="preserve">    学校每年6月中旬、1月中旬召开校学位评定委员会会议，依据校学位评定委员会职能，完成学位授予资格的校会审核。</w:t>
      </w:r>
    </w:p>
    <w:p>
      <w:pPr>
        <w:pStyle w:val="2"/>
        <w:spacing w:line="500" w:lineRule="exact"/>
        <w:jc w:val="center"/>
      </w:pPr>
      <w:bookmarkStart w:id="40" w:name="_Toc422814704"/>
      <w:bookmarkStart w:id="41" w:name="_Toc28358"/>
      <w:r>
        <w:rPr>
          <w:rFonts w:hint="eastAsia"/>
        </w:rPr>
        <w:t>第五部分  学位授予档案归档的程序及要求</w:t>
      </w:r>
      <w:bookmarkEnd w:id="40"/>
      <w:bookmarkEnd w:id="41"/>
    </w:p>
    <w:p>
      <w:pPr>
        <w:spacing w:line="500" w:lineRule="exact"/>
        <w:ind w:firstLine="570"/>
        <w:jc w:val="left"/>
        <w:rPr>
          <w:rFonts w:ascii="宋体" w:hAnsi="宋体" w:cs="宋体"/>
          <w:szCs w:val="28"/>
        </w:rPr>
      </w:pPr>
      <w:r>
        <w:rPr>
          <w:rFonts w:hint="eastAsia" w:ascii="宋体" w:hAnsi="宋体" w:cs="宋体"/>
          <w:szCs w:val="28"/>
        </w:rPr>
        <w:t>每年校学位评定委员会会议结束后，学院需按研究生院学位办要求的本数、时间、程序提交学位论文，按校档案馆要求的事项、时间、程序完成学位授予档案归档工作，按国家要求的事项、时间、程序完成学位授予信息报送工作。</w:t>
      </w:r>
    </w:p>
    <w:p>
      <w:pPr>
        <w:pStyle w:val="2"/>
        <w:spacing w:line="500" w:lineRule="exact"/>
        <w:jc w:val="center"/>
      </w:pPr>
      <w:bookmarkStart w:id="42" w:name="_Toc422814705"/>
      <w:bookmarkStart w:id="43" w:name="_Toc20998"/>
      <w:r>
        <w:rPr>
          <w:rFonts w:hint="eastAsia"/>
        </w:rPr>
        <w:t>第六部分  同等学力申硕年限的界定原则</w:t>
      </w:r>
      <w:bookmarkEnd w:id="42"/>
      <w:bookmarkEnd w:id="43"/>
    </w:p>
    <w:p>
      <w:pPr>
        <w:spacing w:line="500" w:lineRule="exact"/>
        <w:jc w:val="left"/>
        <w:rPr>
          <w:rFonts w:ascii="宋体" w:hAnsi="宋体" w:cs="宋体"/>
          <w:szCs w:val="28"/>
        </w:rPr>
      </w:pPr>
      <w:r>
        <w:rPr>
          <w:rFonts w:hint="eastAsia" w:ascii="宋体" w:hAnsi="宋体" w:cs="宋体"/>
          <w:szCs w:val="28"/>
        </w:rPr>
        <w:t xml:space="preserve">    申请人自通过学位申请资格审核之日起，必须在4年内通过课程水平认定考试及国家组织的英语（学科综合）统考考试。</w:t>
      </w:r>
    </w:p>
    <w:p>
      <w:pPr>
        <w:spacing w:line="500" w:lineRule="exact"/>
        <w:jc w:val="left"/>
        <w:rPr>
          <w:rFonts w:ascii="宋体" w:hAnsi="宋体" w:cs="宋体"/>
          <w:szCs w:val="28"/>
        </w:rPr>
      </w:pPr>
      <w:r>
        <w:rPr>
          <w:rFonts w:hint="eastAsia" w:ascii="宋体" w:hAnsi="宋体" w:cs="宋体"/>
          <w:szCs w:val="28"/>
        </w:rPr>
        <w:t xml:space="preserve">    申请人自通过学位申请资格审核之日起，必须在5年内完成学位论文、通过答辩并获得学位。从学位申请资格审核通过起至学位授予止，时间跨度不得超过5年，5年内未完成者，本次申请无效。</w:t>
      </w:r>
    </w:p>
    <w:p>
      <w:pPr>
        <w:pStyle w:val="2"/>
        <w:spacing w:line="500" w:lineRule="exact"/>
        <w:jc w:val="center"/>
      </w:pPr>
      <w:bookmarkStart w:id="44" w:name="_Toc422814706"/>
      <w:bookmarkStart w:id="45" w:name="_Toc20336"/>
      <w:r>
        <w:rPr>
          <w:rFonts w:hint="eastAsia"/>
        </w:rPr>
        <w:t>第七部分  同等学力申硕学费的缴纳标准</w:t>
      </w:r>
      <w:bookmarkEnd w:id="44"/>
      <w:bookmarkEnd w:id="45"/>
    </w:p>
    <w:p>
      <w:pPr>
        <w:spacing w:line="500" w:lineRule="exact"/>
        <w:jc w:val="left"/>
        <w:rPr>
          <w:rFonts w:ascii="宋体" w:hAnsi="宋体" w:cs="宋体"/>
          <w:szCs w:val="28"/>
        </w:rPr>
      </w:pPr>
      <w:r>
        <w:rPr>
          <w:rFonts w:hint="eastAsia" w:ascii="宋体" w:hAnsi="宋体" w:cs="宋体"/>
          <w:szCs w:val="28"/>
        </w:rPr>
        <w:t xml:space="preserve">    我校同等学力申硕学费</w:t>
      </w:r>
      <w:r>
        <w:rPr>
          <w:rFonts w:hint="eastAsia" w:ascii="宋体"/>
          <w:szCs w:val="28"/>
        </w:rPr>
        <w:t>按照1.6万元/人</w:t>
      </w:r>
      <w:r>
        <w:rPr>
          <w:rFonts w:hint="eastAsia" w:ascii="宋体" w:hAnsi="宋体" w:cs="宋体"/>
          <w:szCs w:val="28"/>
        </w:rPr>
        <w:t>标准执行。申请人应在规定时间内完成学费缴纳事宜。</w:t>
      </w:r>
    </w:p>
    <w:p>
      <w:pPr>
        <w:pStyle w:val="2"/>
        <w:spacing w:line="500" w:lineRule="exact"/>
        <w:jc w:val="center"/>
      </w:pPr>
      <w:bookmarkStart w:id="46" w:name="_Toc422814707"/>
      <w:bookmarkStart w:id="47" w:name="_Toc17888"/>
      <w:r>
        <w:rPr>
          <w:rFonts w:hint="eastAsia"/>
        </w:rPr>
        <w:t>第八部分  常见问题解答</w:t>
      </w:r>
      <w:bookmarkEnd w:id="46"/>
      <w:bookmarkEnd w:id="47"/>
    </w:p>
    <w:p>
      <w:pPr>
        <w:pStyle w:val="13"/>
        <w:spacing w:line="500" w:lineRule="exact"/>
      </w:pPr>
      <w:bookmarkStart w:id="48" w:name="_Toc422814708"/>
      <w:bookmarkStart w:id="49" w:name="_Toc10743"/>
      <w:r>
        <w:rPr>
          <w:rFonts w:hint="eastAsia"/>
        </w:rPr>
        <w:t>一、同等学力申硕的相关年限要求是什么？</w:t>
      </w:r>
      <w:bookmarkEnd w:id="48"/>
      <w:bookmarkEnd w:id="49"/>
    </w:p>
    <w:p>
      <w:pPr>
        <w:spacing w:line="500" w:lineRule="exact"/>
        <w:jc w:val="left"/>
        <w:rPr>
          <w:rFonts w:ascii="宋体" w:hAnsi="宋体" w:cs="宋体"/>
          <w:szCs w:val="28"/>
        </w:rPr>
      </w:pPr>
      <w:r>
        <w:rPr>
          <w:rFonts w:hint="eastAsia" w:ascii="宋体" w:hAnsi="宋体" w:cs="宋体"/>
          <w:szCs w:val="28"/>
        </w:rPr>
        <w:t xml:space="preserve">    答：申请人自通过学位申请资格审核之日起，必须在4年内通过课程水平认定考试及国家组织的英语（学科综合）统考考试，必须在5年内完成学位论文、通过答辩并获得学位。</w:t>
      </w:r>
    </w:p>
    <w:p>
      <w:pPr>
        <w:spacing w:line="500" w:lineRule="exact"/>
        <w:jc w:val="left"/>
        <w:rPr>
          <w:rFonts w:ascii="宋体" w:hAnsi="宋体" w:cs="宋体"/>
          <w:szCs w:val="28"/>
        </w:rPr>
      </w:pPr>
      <w:r>
        <w:rPr>
          <w:rFonts w:hint="eastAsia" w:ascii="宋体" w:hAnsi="宋体" w:cs="宋体"/>
          <w:szCs w:val="28"/>
        </w:rPr>
        <w:t xml:space="preserve">    举例说明：以201</w:t>
      </w:r>
      <w:r>
        <w:rPr>
          <w:rFonts w:hint="eastAsia" w:ascii="宋体" w:hAnsi="宋体" w:cs="宋体"/>
          <w:szCs w:val="28"/>
          <w:lang w:val="en-US" w:eastAsia="zh-CN"/>
        </w:rPr>
        <w:t>9</w:t>
      </w:r>
      <w:r>
        <w:rPr>
          <w:rFonts w:hint="eastAsia" w:ascii="宋体" w:hAnsi="宋体" w:cs="宋体"/>
          <w:szCs w:val="28"/>
        </w:rPr>
        <w:t>年</w:t>
      </w:r>
      <w:r>
        <w:rPr>
          <w:rFonts w:ascii="宋体" w:hAnsi="宋体" w:cs="宋体"/>
          <w:szCs w:val="28"/>
        </w:rPr>
        <w:t>9</w:t>
      </w:r>
      <w:r>
        <w:rPr>
          <w:rFonts w:hint="eastAsia" w:ascii="宋体" w:hAnsi="宋体" w:cs="宋体"/>
          <w:szCs w:val="28"/>
        </w:rPr>
        <w:t>月通过审核的某申请人为例</w:t>
      </w:r>
    </w:p>
    <w:p>
      <w:pPr>
        <w:spacing w:line="500" w:lineRule="exact"/>
        <w:jc w:val="left"/>
        <w:rPr>
          <w:rFonts w:ascii="宋体" w:hAnsi="宋体" w:cs="宋体"/>
          <w:szCs w:val="28"/>
        </w:rPr>
      </w:pPr>
      <w:r>
        <w:rPr>
          <w:rFonts w:hint="eastAsia" w:ascii="宋体" w:hAnsi="宋体" w:cs="宋体"/>
          <w:szCs w:val="28"/>
        </w:rPr>
        <w:t xml:space="preserve">    该申请人最迟要在</w:t>
      </w:r>
      <w:r>
        <w:rPr>
          <w:rFonts w:ascii="宋体" w:hAnsi="宋体" w:cs="宋体"/>
          <w:szCs w:val="28"/>
        </w:rPr>
        <w:t>20</w:t>
      </w:r>
      <w:r>
        <w:rPr>
          <w:rFonts w:hint="eastAsia" w:ascii="宋体" w:hAnsi="宋体" w:cs="宋体"/>
          <w:szCs w:val="28"/>
          <w:lang w:val="en-US" w:eastAsia="zh-CN"/>
        </w:rPr>
        <w:t>23</w:t>
      </w:r>
      <w:r>
        <w:rPr>
          <w:rFonts w:hint="eastAsia" w:ascii="宋体" w:hAnsi="宋体" w:cs="宋体"/>
          <w:szCs w:val="28"/>
        </w:rPr>
        <w:t>年</w:t>
      </w:r>
      <w:r>
        <w:rPr>
          <w:rFonts w:ascii="宋体" w:hAnsi="宋体" w:cs="宋体"/>
          <w:szCs w:val="28"/>
        </w:rPr>
        <w:t>5</w:t>
      </w:r>
      <w:r>
        <w:rPr>
          <w:rFonts w:hint="eastAsia" w:ascii="宋体" w:hAnsi="宋体" w:cs="宋体"/>
          <w:szCs w:val="28"/>
        </w:rPr>
        <w:t>月通过全国统考；最迟要在</w:t>
      </w:r>
      <w:r>
        <w:rPr>
          <w:rFonts w:ascii="宋体" w:hAnsi="宋体" w:cs="宋体"/>
          <w:szCs w:val="28"/>
        </w:rPr>
        <w:t>20</w:t>
      </w:r>
      <w:r>
        <w:rPr>
          <w:rFonts w:hint="eastAsia" w:ascii="宋体" w:hAnsi="宋体" w:cs="宋体"/>
          <w:szCs w:val="28"/>
        </w:rPr>
        <w:t>2</w:t>
      </w:r>
      <w:r>
        <w:rPr>
          <w:rFonts w:hint="eastAsia" w:ascii="宋体" w:hAnsi="宋体" w:cs="宋体"/>
          <w:szCs w:val="28"/>
          <w:lang w:val="en-US" w:eastAsia="zh-CN"/>
        </w:rPr>
        <w:t>4</w:t>
      </w:r>
      <w:r>
        <w:rPr>
          <w:rFonts w:hint="eastAsia" w:ascii="宋体" w:hAnsi="宋体" w:cs="宋体"/>
          <w:szCs w:val="28"/>
        </w:rPr>
        <w:t>年6月完成学位论文答辩并获得学位，否则本次申请无效。简单的说就是该申请人有四次参加全国统考的机会，即20</w:t>
      </w:r>
      <w:r>
        <w:rPr>
          <w:rFonts w:hint="eastAsia" w:ascii="宋体" w:hAnsi="宋体" w:cs="宋体"/>
          <w:szCs w:val="28"/>
          <w:lang w:val="en-US" w:eastAsia="zh-CN"/>
        </w:rPr>
        <w:t>20</w:t>
      </w:r>
      <w:r>
        <w:rPr>
          <w:rFonts w:hint="eastAsia" w:ascii="宋体" w:hAnsi="宋体" w:cs="宋体"/>
          <w:szCs w:val="28"/>
        </w:rPr>
        <w:t>年5月、20</w:t>
      </w:r>
      <w:r>
        <w:rPr>
          <w:rFonts w:hint="eastAsia" w:ascii="宋体" w:hAnsi="宋体" w:cs="宋体"/>
          <w:szCs w:val="28"/>
          <w:lang w:val="en-US" w:eastAsia="zh-CN"/>
        </w:rPr>
        <w:t>21</w:t>
      </w:r>
      <w:r>
        <w:rPr>
          <w:rFonts w:hint="eastAsia" w:ascii="宋体" w:hAnsi="宋体" w:cs="宋体"/>
          <w:szCs w:val="28"/>
        </w:rPr>
        <w:t>年5月、20</w:t>
      </w:r>
      <w:r>
        <w:rPr>
          <w:rFonts w:hint="eastAsia" w:ascii="宋体" w:hAnsi="宋体" w:cs="宋体"/>
          <w:szCs w:val="28"/>
          <w:lang w:val="en-US" w:eastAsia="zh-CN"/>
        </w:rPr>
        <w:t>22</w:t>
      </w:r>
      <w:r>
        <w:rPr>
          <w:rFonts w:hint="eastAsia" w:ascii="宋体" w:hAnsi="宋体" w:cs="宋体"/>
          <w:szCs w:val="28"/>
        </w:rPr>
        <w:t>年5月、20</w:t>
      </w:r>
      <w:r>
        <w:rPr>
          <w:rFonts w:hint="eastAsia" w:ascii="宋体" w:hAnsi="宋体" w:cs="宋体"/>
          <w:szCs w:val="28"/>
          <w:lang w:val="en-US" w:eastAsia="zh-CN"/>
        </w:rPr>
        <w:t>23</w:t>
      </w:r>
      <w:r>
        <w:rPr>
          <w:rFonts w:hint="eastAsia" w:ascii="宋体" w:hAnsi="宋体" w:cs="宋体"/>
          <w:szCs w:val="28"/>
        </w:rPr>
        <w:t>年5月。</w:t>
      </w:r>
    </w:p>
    <w:p>
      <w:pPr>
        <w:spacing w:line="500" w:lineRule="exact"/>
        <w:jc w:val="left"/>
        <w:rPr>
          <w:rFonts w:ascii="宋体" w:hAnsi="宋体" w:cs="宋体"/>
          <w:szCs w:val="28"/>
        </w:rPr>
      </w:pPr>
      <w:r>
        <w:rPr>
          <w:rFonts w:hint="eastAsia" w:ascii="宋体" w:hAnsi="宋体" w:cs="宋体"/>
          <w:szCs w:val="28"/>
        </w:rPr>
        <w:t xml:space="preserve">    假设该申请人第一门全国统考是在20</w:t>
      </w:r>
      <w:r>
        <w:rPr>
          <w:rFonts w:hint="eastAsia" w:ascii="宋体" w:hAnsi="宋体" w:cs="宋体"/>
          <w:szCs w:val="28"/>
          <w:lang w:val="en-US" w:eastAsia="zh-CN"/>
        </w:rPr>
        <w:t>20</w:t>
      </w:r>
      <w:r>
        <w:rPr>
          <w:rFonts w:hint="eastAsia" w:ascii="宋体" w:hAnsi="宋体" w:cs="宋体"/>
          <w:szCs w:val="28"/>
        </w:rPr>
        <w:t>年5月通过的、第二门全国统考是在20</w:t>
      </w:r>
      <w:r>
        <w:rPr>
          <w:rFonts w:hint="eastAsia" w:ascii="宋体" w:hAnsi="宋体" w:cs="宋体"/>
          <w:szCs w:val="28"/>
          <w:lang w:val="en-US" w:eastAsia="zh-CN"/>
        </w:rPr>
        <w:t>23</w:t>
      </w:r>
      <w:r>
        <w:rPr>
          <w:rFonts w:hint="eastAsia" w:ascii="宋体" w:hAnsi="宋体" w:cs="宋体"/>
          <w:szCs w:val="28"/>
        </w:rPr>
        <w:t>年5月通过的，若该申请人在</w:t>
      </w:r>
      <w:r>
        <w:rPr>
          <w:rFonts w:ascii="宋体" w:hAnsi="宋体" w:cs="宋体"/>
          <w:szCs w:val="28"/>
        </w:rPr>
        <w:t>20</w:t>
      </w:r>
      <w:r>
        <w:rPr>
          <w:rFonts w:hint="eastAsia" w:ascii="宋体" w:hAnsi="宋体" w:cs="宋体"/>
          <w:szCs w:val="28"/>
        </w:rPr>
        <w:t>2</w:t>
      </w:r>
      <w:r>
        <w:rPr>
          <w:rFonts w:hint="eastAsia" w:ascii="宋体" w:hAnsi="宋体" w:cs="宋体"/>
          <w:szCs w:val="28"/>
          <w:lang w:val="en-US" w:eastAsia="zh-CN"/>
        </w:rPr>
        <w:t>4</w:t>
      </w:r>
      <w:r>
        <w:rPr>
          <w:rFonts w:hint="eastAsia" w:ascii="宋体" w:hAnsi="宋体" w:cs="宋体"/>
          <w:szCs w:val="28"/>
        </w:rPr>
        <w:t>年6月获得学位，第一门统考成绩未超过4年有效期；若该申请人在</w:t>
      </w:r>
      <w:r>
        <w:rPr>
          <w:rFonts w:ascii="宋体" w:hAnsi="宋体" w:cs="宋体"/>
          <w:szCs w:val="28"/>
        </w:rPr>
        <w:t>20</w:t>
      </w:r>
      <w:r>
        <w:rPr>
          <w:rFonts w:hint="eastAsia" w:ascii="宋体" w:hAnsi="宋体" w:cs="宋体"/>
          <w:szCs w:val="28"/>
        </w:rPr>
        <w:t>2</w:t>
      </w:r>
      <w:r>
        <w:rPr>
          <w:rFonts w:hint="eastAsia" w:ascii="宋体" w:hAnsi="宋体" w:cs="宋体"/>
          <w:szCs w:val="28"/>
          <w:lang w:val="en-US" w:eastAsia="zh-CN"/>
        </w:rPr>
        <w:t>4</w:t>
      </w:r>
      <w:r>
        <w:rPr>
          <w:rFonts w:hint="eastAsia" w:ascii="宋体" w:hAnsi="宋体" w:cs="宋体"/>
          <w:szCs w:val="28"/>
        </w:rPr>
        <w:t>年12月申请学位，第一门统考成绩已超过4年有效期，同时该申请人从学位申请资格审核通过起至学位授予止时间跨度已超过5年。</w:t>
      </w:r>
    </w:p>
    <w:p>
      <w:pPr>
        <w:spacing w:line="500" w:lineRule="exact"/>
        <w:jc w:val="left"/>
        <w:rPr>
          <w:rFonts w:ascii="宋体" w:hAnsi="宋体" w:cs="宋体"/>
          <w:szCs w:val="28"/>
        </w:rPr>
      </w:pPr>
      <w:r>
        <w:rPr>
          <w:rFonts w:hint="eastAsia" w:ascii="宋体" w:hAnsi="宋体" w:cs="宋体"/>
          <w:szCs w:val="28"/>
        </w:rPr>
        <w:t xml:space="preserve">    也就是说，201</w:t>
      </w:r>
      <w:r>
        <w:rPr>
          <w:rFonts w:hint="eastAsia" w:ascii="宋体" w:hAnsi="宋体" w:cs="宋体"/>
          <w:szCs w:val="28"/>
          <w:lang w:val="en-US" w:eastAsia="zh-CN"/>
        </w:rPr>
        <w:t>9</w:t>
      </w:r>
      <w:r>
        <w:rPr>
          <w:rFonts w:hint="eastAsia" w:ascii="宋体" w:hAnsi="宋体" w:cs="宋体"/>
          <w:szCs w:val="28"/>
        </w:rPr>
        <w:t>年</w:t>
      </w:r>
      <w:r>
        <w:rPr>
          <w:rFonts w:ascii="宋体" w:hAnsi="宋体" w:cs="宋体"/>
          <w:szCs w:val="28"/>
        </w:rPr>
        <w:t>9</w:t>
      </w:r>
      <w:r>
        <w:rPr>
          <w:rFonts w:hint="eastAsia" w:ascii="宋体" w:hAnsi="宋体" w:cs="宋体"/>
          <w:szCs w:val="28"/>
        </w:rPr>
        <w:t>月通过审核的申请人最迟要在</w:t>
      </w:r>
      <w:r>
        <w:rPr>
          <w:rFonts w:ascii="宋体" w:hAnsi="宋体" w:cs="宋体"/>
          <w:szCs w:val="28"/>
        </w:rPr>
        <w:t>20</w:t>
      </w:r>
      <w:r>
        <w:rPr>
          <w:rFonts w:hint="eastAsia" w:ascii="宋体" w:hAnsi="宋体" w:cs="宋体"/>
          <w:szCs w:val="28"/>
        </w:rPr>
        <w:t>2</w:t>
      </w:r>
      <w:r>
        <w:rPr>
          <w:rFonts w:hint="eastAsia" w:ascii="宋体" w:hAnsi="宋体" w:cs="宋体"/>
          <w:szCs w:val="28"/>
          <w:lang w:val="en-US" w:eastAsia="zh-CN"/>
        </w:rPr>
        <w:t>4</w:t>
      </w:r>
      <w:r>
        <w:rPr>
          <w:rFonts w:hint="eastAsia" w:ascii="宋体" w:hAnsi="宋体" w:cs="宋体"/>
          <w:szCs w:val="28"/>
        </w:rPr>
        <w:t xml:space="preserve">年6月获得学位，否则即为超期。    </w:t>
      </w:r>
    </w:p>
    <w:p>
      <w:pPr>
        <w:pStyle w:val="13"/>
        <w:spacing w:line="500" w:lineRule="exact"/>
      </w:pPr>
      <w:bookmarkStart w:id="50" w:name="_Toc11568"/>
      <w:bookmarkStart w:id="51" w:name="_Toc422814709"/>
      <w:r>
        <w:rPr>
          <w:rFonts w:hint="eastAsia"/>
        </w:rPr>
        <w:t>二、水平认定程序和开题答辩程序有无先后顺序？</w:t>
      </w:r>
      <w:bookmarkEnd w:id="50"/>
    </w:p>
    <w:p>
      <w:pPr>
        <w:spacing w:line="500" w:lineRule="exact"/>
        <w:jc w:val="left"/>
      </w:pPr>
      <w:r>
        <w:rPr>
          <w:rFonts w:hint="eastAsia" w:ascii="宋体" w:hAnsi="宋体" w:cs="宋体"/>
          <w:szCs w:val="28"/>
        </w:rPr>
        <w:t xml:space="preserve">    答：第二部分同等学力水平认定的程序和第三部分学位论文开题答辩的程序之间没有先后顺序的要求，申请人通过学位申请资格审核后，可同时进行水平认定考试和学位论文开题。而且，各级各类水平认定考试之间均无先后顺序的要求，申请人通过学位申请资格审核后，可同时进行各级各类水平认定考试。</w:t>
      </w:r>
    </w:p>
    <w:p>
      <w:pPr>
        <w:pStyle w:val="13"/>
        <w:spacing w:line="500" w:lineRule="exact"/>
      </w:pPr>
      <w:bookmarkStart w:id="52" w:name="_Toc17401"/>
      <w:r>
        <w:rPr>
          <w:rFonts w:hint="eastAsia"/>
        </w:rPr>
        <w:t>三、导师能否做答辩委员会的主席或委员？</w:t>
      </w:r>
      <w:bookmarkEnd w:id="51"/>
      <w:bookmarkEnd w:id="52"/>
    </w:p>
    <w:p>
      <w:pPr>
        <w:spacing w:line="500" w:lineRule="exact"/>
        <w:jc w:val="left"/>
        <w:rPr>
          <w:rFonts w:ascii="宋体" w:hAnsi="宋体" w:cs="宋体"/>
          <w:szCs w:val="28"/>
        </w:rPr>
      </w:pPr>
      <w:r>
        <w:rPr>
          <w:rFonts w:hint="eastAsia" w:ascii="宋体" w:hAnsi="宋体" w:cs="宋体"/>
          <w:szCs w:val="28"/>
        </w:rPr>
        <w:t xml:space="preserve">    答：否。导师不能作为答辩委员会委员，也不能做主席。</w:t>
      </w:r>
    </w:p>
    <w:p>
      <w:pPr>
        <w:pStyle w:val="13"/>
        <w:spacing w:line="500" w:lineRule="exact"/>
      </w:pPr>
      <w:bookmarkStart w:id="53" w:name="_Toc422814710"/>
      <w:bookmarkStart w:id="54" w:name="_Toc20852"/>
      <w:r>
        <w:rPr>
          <w:rFonts w:hint="eastAsia"/>
        </w:rPr>
        <w:t>四、答辩委员会委员组成要求是什么？</w:t>
      </w:r>
      <w:bookmarkEnd w:id="53"/>
      <w:bookmarkEnd w:id="54"/>
    </w:p>
    <w:p>
      <w:pPr>
        <w:pStyle w:val="5"/>
        <w:spacing w:line="500" w:lineRule="exact"/>
        <w:rPr>
          <w:rFonts w:ascii="宋体" w:hAnsi="宋体" w:cs="宋体"/>
          <w:szCs w:val="28"/>
        </w:rPr>
      </w:pPr>
      <w:r>
        <w:rPr>
          <w:rFonts w:hint="eastAsia" w:ascii="宋体" w:hAnsi="宋体" w:cs="宋体"/>
          <w:szCs w:val="28"/>
        </w:rPr>
        <w:t xml:space="preserve">    答：答辩委员会应由5位或7位专家组成，均要求副高以上职称，其中</w:t>
      </w:r>
      <w:r>
        <w:rPr>
          <w:rFonts w:ascii="宋体" w:hAnsi="宋体" w:cs="宋体"/>
          <w:szCs w:val="28"/>
        </w:rPr>
        <w:t>至少有3</w:t>
      </w:r>
      <w:r>
        <w:rPr>
          <w:rFonts w:hint="eastAsia" w:ascii="宋体" w:hAnsi="宋体" w:cs="宋体"/>
          <w:szCs w:val="28"/>
        </w:rPr>
        <w:t>位</w:t>
      </w:r>
      <w:r>
        <w:rPr>
          <w:rFonts w:ascii="宋体" w:hAnsi="宋体" w:cs="宋体"/>
          <w:szCs w:val="28"/>
        </w:rPr>
        <w:t>是研究生导师</w:t>
      </w:r>
      <w:r>
        <w:rPr>
          <w:rFonts w:hint="eastAsia" w:ascii="宋体" w:hAnsi="宋体" w:cs="宋体"/>
          <w:szCs w:val="28"/>
        </w:rPr>
        <w:t>、至少有1位是校外专家。</w:t>
      </w:r>
    </w:p>
    <w:sectPr>
      <w:footerReference r:id="rId3" w:type="first"/>
      <w:pgSz w:w="11906" w:h="17338"/>
      <w:pgMar w:top="1255" w:right="1521" w:bottom="973" w:left="1529" w:header="720" w:footer="72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4776"/>
    </w:sdtPr>
    <w:sdtContent>
      <w:p>
        <w:pPr>
          <w:pStyle w:val="8"/>
          <w:jc w:val="center"/>
        </w:pP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31"/>
    <w:rsid w:val="00002C0E"/>
    <w:rsid w:val="000072D2"/>
    <w:rsid w:val="00011BC5"/>
    <w:rsid w:val="000217CD"/>
    <w:rsid w:val="000242EC"/>
    <w:rsid w:val="00026562"/>
    <w:rsid w:val="0003078C"/>
    <w:rsid w:val="00031A50"/>
    <w:rsid w:val="00032396"/>
    <w:rsid w:val="00036EE3"/>
    <w:rsid w:val="0004269C"/>
    <w:rsid w:val="00042E46"/>
    <w:rsid w:val="000558C1"/>
    <w:rsid w:val="00060654"/>
    <w:rsid w:val="000817A3"/>
    <w:rsid w:val="00081D67"/>
    <w:rsid w:val="000900DF"/>
    <w:rsid w:val="00091090"/>
    <w:rsid w:val="000B1881"/>
    <w:rsid w:val="000B248F"/>
    <w:rsid w:val="000B4FEC"/>
    <w:rsid w:val="000C59E8"/>
    <w:rsid w:val="000D3723"/>
    <w:rsid w:val="00104112"/>
    <w:rsid w:val="0011083E"/>
    <w:rsid w:val="00111612"/>
    <w:rsid w:val="00126325"/>
    <w:rsid w:val="0014204E"/>
    <w:rsid w:val="0015256A"/>
    <w:rsid w:val="00152B65"/>
    <w:rsid w:val="00157FFB"/>
    <w:rsid w:val="0016133D"/>
    <w:rsid w:val="00170B3C"/>
    <w:rsid w:val="00172A27"/>
    <w:rsid w:val="001735C5"/>
    <w:rsid w:val="0017751D"/>
    <w:rsid w:val="001821F6"/>
    <w:rsid w:val="001845A7"/>
    <w:rsid w:val="00197C55"/>
    <w:rsid w:val="001A1900"/>
    <w:rsid w:val="001A23FA"/>
    <w:rsid w:val="001A2CA8"/>
    <w:rsid w:val="001A5140"/>
    <w:rsid w:val="001A56AF"/>
    <w:rsid w:val="001B1F49"/>
    <w:rsid w:val="001C205D"/>
    <w:rsid w:val="001C7302"/>
    <w:rsid w:val="001D1C07"/>
    <w:rsid w:val="001D5E9A"/>
    <w:rsid w:val="001D7388"/>
    <w:rsid w:val="001E05BD"/>
    <w:rsid w:val="001E10D8"/>
    <w:rsid w:val="001E1894"/>
    <w:rsid w:val="001E3D91"/>
    <w:rsid w:val="00200103"/>
    <w:rsid w:val="00207DC9"/>
    <w:rsid w:val="00222BE7"/>
    <w:rsid w:val="00224416"/>
    <w:rsid w:val="002325A5"/>
    <w:rsid w:val="00235E2D"/>
    <w:rsid w:val="002375A7"/>
    <w:rsid w:val="00247293"/>
    <w:rsid w:val="00260112"/>
    <w:rsid w:val="00284BCD"/>
    <w:rsid w:val="002933D9"/>
    <w:rsid w:val="002966EF"/>
    <w:rsid w:val="002A564D"/>
    <w:rsid w:val="002B459E"/>
    <w:rsid w:val="002C6513"/>
    <w:rsid w:val="002F0365"/>
    <w:rsid w:val="003315F0"/>
    <w:rsid w:val="0033483E"/>
    <w:rsid w:val="003413B9"/>
    <w:rsid w:val="00352DDE"/>
    <w:rsid w:val="003661C1"/>
    <w:rsid w:val="003749BD"/>
    <w:rsid w:val="00385AB4"/>
    <w:rsid w:val="0038603A"/>
    <w:rsid w:val="00391819"/>
    <w:rsid w:val="00393647"/>
    <w:rsid w:val="00393732"/>
    <w:rsid w:val="00393CFC"/>
    <w:rsid w:val="00395A14"/>
    <w:rsid w:val="00397DD5"/>
    <w:rsid w:val="003A05BE"/>
    <w:rsid w:val="003A09EE"/>
    <w:rsid w:val="003C5662"/>
    <w:rsid w:val="003C79E8"/>
    <w:rsid w:val="003E709C"/>
    <w:rsid w:val="003E7E6F"/>
    <w:rsid w:val="003F0982"/>
    <w:rsid w:val="003F54D7"/>
    <w:rsid w:val="004041F2"/>
    <w:rsid w:val="00411AFE"/>
    <w:rsid w:val="00412E8B"/>
    <w:rsid w:val="00426D7D"/>
    <w:rsid w:val="00427F51"/>
    <w:rsid w:val="00430A4E"/>
    <w:rsid w:val="004346D0"/>
    <w:rsid w:val="00440520"/>
    <w:rsid w:val="00441B23"/>
    <w:rsid w:val="004435DA"/>
    <w:rsid w:val="004466DE"/>
    <w:rsid w:val="00470804"/>
    <w:rsid w:val="0048136D"/>
    <w:rsid w:val="004827CD"/>
    <w:rsid w:val="00482C58"/>
    <w:rsid w:val="00486DA5"/>
    <w:rsid w:val="00487E6A"/>
    <w:rsid w:val="004979CF"/>
    <w:rsid w:val="004A039D"/>
    <w:rsid w:val="004B6B88"/>
    <w:rsid w:val="004C173C"/>
    <w:rsid w:val="004C342B"/>
    <w:rsid w:val="004D02A3"/>
    <w:rsid w:val="004D70CB"/>
    <w:rsid w:val="004E24DE"/>
    <w:rsid w:val="0050132A"/>
    <w:rsid w:val="00501A2E"/>
    <w:rsid w:val="00502752"/>
    <w:rsid w:val="00504961"/>
    <w:rsid w:val="0050671E"/>
    <w:rsid w:val="005067D8"/>
    <w:rsid w:val="00510E3D"/>
    <w:rsid w:val="005136D6"/>
    <w:rsid w:val="00514848"/>
    <w:rsid w:val="00516E35"/>
    <w:rsid w:val="0051795F"/>
    <w:rsid w:val="00517AC3"/>
    <w:rsid w:val="00524A51"/>
    <w:rsid w:val="00526773"/>
    <w:rsid w:val="0053304D"/>
    <w:rsid w:val="00555A1C"/>
    <w:rsid w:val="00562C23"/>
    <w:rsid w:val="00576EC9"/>
    <w:rsid w:val="005B060B"/>
    <w:rsid w:val="005B0B56"/>
    <w:rsid w:val="005B366C"/>
    <w:rsid w:val="005B6484"/>
    <w:rsid w:val="005B7FE9"/>
    <w:rsid w:val="005C043D"/>
    <w:rsid w:val="005D51BE"/>
    <w:rsid w:val="005D59BF"/>
    <w:rsid w:val="005E3D37"/>
    <w:rsid w:val="005E42CF"/>
    <w:rsid w:val="005E65F7"/>
    <w:rsid w:val="005F0B10"/>
    <w:rsid w:val="005F6702"/>
    <w:rsid w:val="0060067B"/>
    <w:rsid w:val="00600E52"/>
    <w:rsid w:val="00602E77"/>
    <w:rsid w:val="00610ADC"/>
    <w:rsid w:val="00614CE7"/>
    <w:rsid w:val="00615B05"/>
    <w:rsid w:val="006217D3"/>
    <w:rsid w:val="00621E1E"/>
    <w:rsid w:val="00623D28"/>
    <w:rsid w:val="00626FE8"/>
    <w:rsid w:val="0064243A"/>
    <w:rsid w:val="006532B5"/>
    <w:rsid w:val="00677532"/>
    <w:rsid w:val="006972EF"/>
    <w:rsid w:val="00697C82"/>
    <w:rsid w:val="006A6977"/>
    <w:rsid w:val="006B1F00"/>
    <w:rsid w:val="006B3B91"/>
    <w:rsid w:val="006D385D"/>
    <w:rsid w:val="006E594E"/>
    <w:rsid w:val="006E684B"/>
    <w:rsid w:val="006F1240"/>
    <w:rsid w:val="006F19B2"/>
    <w:rsid w:val="006F5D2A"/>
    <w:rsid w:val="00704E70"/>
    <w:rsid w:val="007152A2"/>
    <w:rsid w:val="0071730D"/>
    <w:rsid w:val="00725306"/>
    <w:rsid w:val="007257E7"/>
    <w:rsid w:val="00727FA1"/>
    <w:rsid w:val="00732232"/>
    <w:rsid w:val="007413B9"/>
    <w:rsid w:val="0074247D"/>
    <w:rsid w:val="007509E2"/>
    <w:rsid w:val="00752FD8"/>
    <w:rsid w:val="00763479"/>
    <w:rsid w:val="00770A87"/>
    <w:rsid w:val="00781A2B"/>
    <w:rsid w:val="00781F28"/>
    <w:rsid w:val="00783A5C"/>
    <w:rsid w:val="007859C2"/>
    <w:rsid w:val="007A3FC0"/>
    <w:rsid w:val="007A7902"/>
    <w:rsid w:val="007B0EEF"/>
    <w:rsid w:val="007B7BE1"/>
    <w:rsid w:val="007C01EF"/>
    <w:rsid w:val="007E1C3A"/>
    <w:rsid w:val="007E4CE6"/>
    <w:rsid w:val="007F39CA"/>
    <w:rsid w:val="007F6894"/>
    <w:rsid w:val="007F71F7"/>
    <w:rsid w:val="00803DE2"/>
    <w:rsid w:val="00811031"/>
    <w:rsid w:val="00813588"/>
    <w:rsid w:val="00820845"/>
    <w:rsid w:val="0082349F"/>
    <w:rsid w:val="00851A13"/>
    <w:rsid w:val="00852CB8"/>
    <w:rsid w:val="00856694"/>
    <w:rsid w:val="0085727D"/>
    <w:rsid w:val="00862B1E"/>
    <w:rsid w:val="0088096D"/>
    <w:rsid w:val="00883DD6"/>
    <w:rsid w:val="00891056"/>
    <w:rsid w:val="0089589A"/>
    <w:rsid w:val="00896B3A"/>
    <w:rsid w:val="008A021B"/>
    <w:rsid w:val="008A51F6"/>
    <w:rsid w:val="008B69DB"/>
    <w:rsid w:val="008C45A1"/>
    <w:rsid w:val="008C47D6"/>
    <w:rsid w:val="008C54E6"/>
    <w:rsid w:val="008D078A"/>
    <w:rsid w:val="008D6148"/>
    <w:rsid w:val="008E2423"/>
    <w:rsid w:val="008E4E3C"/>
    <w:rsid w:val="008F7035"/>
    <w:rsid w:val="008F72AF"/>
    <w:rsid w:val="0090643A"/>
    <w:rsid w:val="00921682"/>
    <w:rsid w:val="00923B9A"/>
    <w:rsid w:val="0093797E"/>
    <w:rsid w:val="00965C43"/>
    <w:rsid w:val="00985EA6"/>
    <w:rsid w:val="009A4812"/>
    <w:rsid w:val="009A7451"/>
    <w:rsid w:val="009B12A3"/>
    <w:rsid w:val="009C42A7"/>
    <w:rsid w:val="009D35AD"/>
    <w:rsid w:val="009F1D49"/>
    <w:rsid w:val="009F1FEC"/>
    <w:rsid w:val="009F29F3"/>
    <w:rsid w:val="00A02F4A"/>
    <w:rsid w:val="00A074EF"/>
    <w:rsid w:val="00A13C56"/>
    <w:rsid w:val="00A24FCD"/>
    <w:rsid w:val="00A329E1"/>
    <w:rsid w:val="00A34FB7"/>
    <w:rsid w:val="00A3507D"/>
    <w:rsid w:val="00A36DA0"/>
    <w:rsid w:val="00A415BE"/>
    <w:rsid w:val="00A44E84"/>
    <w:rsid w:val="00A52F6F"/>
    <w:rsid w:val="00A57C40"/>
    <w:rsid w:val="00A65106"/>
    <w:rsid w:val="00A73C9B"/>
    <w:rsid w:val="00A73EFA"/>
    <w:rsid w:val="00A91C72"/>
    <w:rsid w:val="00AA1F46"/>
    <w:rsid w:val="00AA227F"/>
    <w:rsid w:val="00AB291E"/>
    <w:rsid w:val="00AB42DF"/>
    <w:rsid w:val="00AC0F68"/>
    <w:rsid w:val="00AC7826"/>
    <w:rsid w:val="00AD3782"/>
    <w:rsid w:val="00AD3F8B"/>
    <w:rsid w:val="00AD7945"/>
    <w:rsid w:val="00AE195A"/>
    <w:rsid w:val="00AE3CAA"/>
    <w:rsid w:val="00AE67E0"/>
    <w:rsid w:val="00AF02F9"/>
    <w:rsid w:val="00B07326"/>
    <w:rsid w:val="00B134A9"/>
    <w:rsid w:val="00B226E6"/>
    <w:rsid w:val="00B35B9C"/>
    <w:rsid w:val="00B3657A"/>
    <w:rsid w:val="00B37D88"/>
    <w:rsid w:val="00B466D3"/>
    <w:rsid w:val="00B5400B"/>
    <w:rsid w:val="00B66FA2"/>
    <w:rsid w:val="00B761CB"/>
    <w:rsid w:val="00B80B5A"/>
    <w:rsid w:val="00B86BB9"/>
    <w:rsid w:val="00B87BF2"/>
    <w:rsid w:val="00B94FA4"/>
    <w:rsid w:val="00BA471F"/>
    <w:rsid w:val="00BA7C97"/>
    <w:rsid w:val="00BB0712"/>
    <w:rsid w:val="00BB38E6"/>
    <w:rsid w:val="00BB5AA5"/>
    <w:rsid w:val="00BB60AC"/>
    <w:rsid w:val="00BC3BDB"/>
    <w:rsid w:val="00BC59F2"/>
    <w:rsid w:val="00BC68A4"/>
    <w:rsid w:val="00BD7DB5"/>
    <w:rsid w:val="00BE08F1"/>
    <w:rsid w:val="00BF3D2F"/>
    <w:rsid w:val="00BF5AD6"/>
    <w:rsid w:val="00BF7EE3"/>
    <w:rsid w:val="00C00221"/>
    <w:rsid w:val="00C10AFC"/>
    <w:rsid w:val="00C11317"/>
    <w:rsid w:val="00C20B6D"/>
    <w:rsid w:val="00C24FEE"/>
    <w:rsid w:val="00C43637"/>
    <w:rsid w:val="00C506D0"/>
    <w:rsid w:val="00C63ED0"/>
    <w:rsid w:val="00C65799"/>
    <w:rsid w:val="00C6671C"/>
    <w:rsid w:val="00C71778"/>
    <w:rsid w:val="00C87112"/>
    <w:rsid w:val="00C9676F"/>
    <w:rsid w:val="00CA5EF7"/>
    <w:rsid w:val="00CB08F4"/>
    <w:rsid w:val="00CB0EFB"/>
    <w:rsid w:val="00CB127A"/>
    <w:rsid w:val="00CC0E23"/>
    <w:rsid w:val="00CC1FC0"/>
    <w:rsid w:val="00CC573C"/>
    <w:rsid w:val="00CC6C86"/>
    <w:rsid w:val="00CC7E28"/>
    <w:rsid w:val="00CE427A"/>
    <w:rsid w:val="00CE5701"/>
    <w:rsid w:val="00CF2299"/>
    <w:rsid w:val="00CF4D94"/>
    <w:rsid w:val="00D014A4"/>
    <w:rsid w:val="00D037DF"/>
    <w:rsid w:val="00D04D21"/>
    <w:rsid w:val="00D11C2C"/>
    <w:rsid w:val="00D13F22"/>
    <w:rsid w:val="00D16E77"/>
    <w:rsid w:val="00D17B4C"/>
    <w:rsid w:val="00D21AC3"/>
    <w:rsid w:val="00D21D4C"/>
    <w:rsid w:val="00D2788C"/>
    <w:rsid w:val="00D27F28"/>
    <w:rsid w:val="00D3335D"/>
    <w:rsid w:val="00D349A0"/>
    <w:rsid w:val="00D35026"/>
    <w:rsid w:val="00D56325"/>
    <w:rsid w:val="00D572D7"/>
    <w:rsid w:val="00D619FA"/>
    <w:rsid w:val="00D723F2"/>
    <w:rsid w:val="00D73A11"/>
    <w:rsid w:val="00D86CF4"/>
    <w:rsid w:val="00D90C0B"/>
    <w:rsid w:val="00D95266"/>
    <w:rsid w:val="00DA1409"/>
    <w:rsid w:val="00DB18DC"/>
    <w:rsid w:val="00DB60CF"/>
    <w:rsid w:val="00DB79BE"/>
    <w:rsid w:val="00DC4D84"/>
    <w:rsid w:val="00DC5B90"/>
    <w:rsid w:val="00DD7B88"/>
    <w:rsid w:val="00DE0C1E"/>
    <w:rsid w:val="00E0561C"/>
    <w:rsid w:val="00E0680B"/>
    <w:rsid w:val="00E11394"/>
    <w:rsid w:val="00E12CCD"/>
    <w:rsid w:val="00E14A8A"/>
    <w:rsid w:val="00E15011"/>
    <w:rsid w:val="00E235E6"/>
    <w:rsid w:val="00E3040D"/>
    <w:rsid w:val="00E305DC"/>
    <w:rsid w:val="00E33E10"/>
    <w:rsid w:val="00E35A27"/>
    <w:rsid w:val="00E44FFD"/>
    <w:rsid w:val="00E47861"/>
    <w:rsid w:val="00E50650"/>
    <w:rsid w:val="00E64E6B"/>
    <w:rsid w:val="00E67654"/>
    <w:rsid w:val="00E71707"/>
    <w:rsid w:val="00E843BC"/>
    <w:rsid w:val="00E863E0"/>
    <w:rsid w:val="00E900C0"/>
    <w:rsid w:val="00EA2D1B"/>
    <w:rsid w:val="00EA38E8"/>
    <w:rsid w:val="00EB5E97"/>
    <w:rsid w:val="00EC1B24"/>
    <w:rsid w:val="00ED0549"/>
    <w:rsid w:val="00ED518B"/>
    <w:rsid w:val="00ED52A7"/>
    <w:rsid w:val="00ED6ED7"/>
    <w:rsid w:val="00ED7DC2"/>
    <w:rsid w:val="00EE37B7"/>
    <w:rsid w:val="00EE53F8"/>
    <w:rsid w:val="00EF60E0"/>
    <w:rsid w:val="00F01D31"/>
    <w:rsid w:val="00F031A7"/>
    <w:rsid w:val="00F17EEA"/>
    <w:rsid w:val="00F23E40"/>
    <w:rsid w:val="00F24385"/>
    <w:rsid w:val="00F37F93"/>
    <w:rsid w:val="00F407BB"/>
    <w:rsid w:val="00F42BF0"/>
    <w:rsid w:val="00F44DD2"/>
    <w:rsid w:val="00F4781A"/>
    <w:rsid w:val="00F51DE4"/>
    <w:rsid w:val="00F764EB"/>
    <w:rsid w:val="00F839E4"/>
    <w:rsid w:val="00F923F4"/>
    <w:rsid w:val="00F96F06"/>
    <w:rsid w:val="00FA3220"/>
    <w:rsid w:val="00FB04FC"/>
    <w:rsid w:val="00FB3F24"/>
    <w:rsid w:val="00FB62D8"/>
    <w:rsid w:val="00FB7253"/>
    <w:rsid w:val="00FC1836"/>
    <w:rsid w:val="00FC3F2B"/>
    <w:rsid w:val="00FD0DCB"/>
    <w:rsid w:val="00FD7661"/>
    <w:rsid w:val="00FD7672"/>
    <w:rsid w:val="00FE39B0"/>
    <w:rsid w:val="00FF17DC"/>
    <w:rsid w:val="00FF2F40"/>
    <w:rsid w:val="01D74006"/>
    <w:rsid w:val="025035B1"/>
    <w:rsid w:val="0D7A3A23"/>
    <w:rsid w:val="14323D20"/>
    <w:rsid w:val="144821CA"/>
    <w:rsid w:val="163B7E5B"/>
    <w:rsid w:val="1B7C0C7F"/>
    <w:rsid w:val="205C73CB"/>
    <w:rsid w:val="23605090"/>
    <w:rsid w:val="2669090B"/>
    <w:rsid w:val="2D427D8D"/>
    <w:rsid w:val="3558328A"/>
    <w:rsid w:val="3FD82440"/>
    <w:rsid w:val="41D04CC5"/>
    <w:rsid w:val="41FD7852"/>
    <w:rsid w:val="43DE0CBF"/>
    <w:rsid w:val="4A076B71"/>
    <w:rsid w:val="4A243BDB"/>
    <w:rsid w:val="4BDC227F"/>
    <w:rsid w:val="4E9639A9"/>
    <w:rsid w:val="52731D33"/>
    <w:rsid w:val="5F3F6E8D"/>
    <w:rsid w:val="5F617056"/>
    <w:rsid w:val="7C801F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8"/>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32"/>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7"/>
    <w:semiHidden/>
    <w:qFormat/>
    <w:uiPriority w:val="99"/>
    <w:pPr>
      <w:jc w:val="left"/>
    </w:pPr>
  </w:style>
  <w:style w:type="paragraph" w:styleId="6">
    <w:name w:val="toc 3"/>
    <w:basedOn w:val="1"/>
    <w:next w:val="1"/>
    <w:unhideWhenUsed/>
    <w:qFormat/>
    <w:uiPriority w:val="39"/>
    <w:pPr>
      <w:spacing w:after="100" w:line="276" w:lineRule="auto"/>
      <w:ind w:left="440"/>
      <w:jc w:val="left"/>
    </w:pPr>
    <w:rPr>
      <w:rFonts w:asciiTheme="minorHAnsi" w:hAnsiTheme="minorHAnsi" w:eastAsiaTheme="minorEastAsia" w:cstheme="minorBidi"/>
      <w:kern w:val="0"/>
      <w:sz w:val="22"/>
      <w:szCs w:val="22"/>
    </w:rPr>
  </w:style>
  <w:style w:type="paragraph" w:styleId="7">
    <w:name w:val="Balloon Text"/>
    <w:basedOn w:val="1"/>
    <w:link w:val="24"/>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tabs>
        <w:tab w:val="right" w:leader="dot" w:pos="8846"/>
      </w:tabs>
      <w:spacing w:after="100" w:line="276" w:lineRule="auto"/>
      <w:jc w:val="center"/>
    </w:pPr>
    <w:rPr>
      <w:rFonts w:ascii="黑体" w:hAnsi="黑体" w:eastAsia="黑体" w:cstheme="minorBidi"/>
      <w:kern w:val="0"/>
      <w:sz w:val="24"/>
      <w:szCs w:val="22"/>
    </w:rPr>
  </w:style>
  <w:style w:type="paragraph" w:styleId="11">
    <w:name w:val="Subtitle"/>
    <w:basedOn w:val="1"/>
    <w:next w:val="1"/>
    <w:link w:val="22"/>
    <w:qFormat/>
    <w:uiPriority w:val="11"/>
    <w:pPr>
      <w:spacing w:before="240" w:after="60" w:line="312" w:lineRule="auto"/>
      <w:jc w:val="left"/>
      <w:outlineLvl w:val="1"/>
    </w:pPr>
    <w:rPr>
      <w:rFonts w:asciiTheme="majorHAnsi" w:hAnsiTheme="majorHAnsi" w:cstheme="majorBidi"/>
      <w:bCs/>
      <w:kern w:val="28"/>
      <w:szCs w:val="32"/>
    </w:rPr>
  </w:style>
  <w:style w:type="paragraph" w:styleId="12">
    <w:name w:val="toc 2"/>
    <w:basedOn w:val="1"/>
    <w:next w:val="1"/>
    <w:unhideWhenUsed/>
    <w:qFormat/>
    <w:uiPriority w:val="39"/>
    <w:pPr>
      <w:spacing w:after="100" w:line="276" w:lineRule="auto"/>
      <w:ind w:left="220"/>
      <w:jc w:val="left"/>
    </w:pPr>
    <w:rPr>
      <w:rFonts w:asciiTheme="minorHAnsi" w:hAnsiTheme="minorHAnsi" w:eastAsiaTheme="minorEastAsia" w:cstheme="minorBidi"/>
      <w:kern w:val="0"/>
      <w:sz w:val="22"/>
      <w:szCs w:val="22"/>
    </w:rPr>
  </w:style>
  <w:style w:type="paragraph" w:styleId="13">
    <w:name w:val="Title"/>
    <w:basedOn w:val="1"/>
    <w:next w:val="1"/>
    <w:link w:val="21"/>
    <w:qFormat/>
    <w:uiPriority w:val="10"/>
    <w:pPr>
      <w:spacing w:before="240" w:after="60"/>
      <w:jc w:val="left"/>
      <w:outlineLvl w:val="0"/>
    </w:pPr>
    <w:rPr>
      <w:rFonts w:asciiTheme="majorHAnsi" w:hAnsiTheme="majorHAnsi" w:cstheme="majorBidi"/>
      <w:b/>
      <w:bCs/>
      <w:sz w:val="30"/>
      <w:szCs w:val="32"/>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paragraph" w:customStyle="1" w:styleId="18">
    <w:name w:val="Default"/>
    <w:unhideWhenUsed/>
    <w:qFormat/>
    <w:uiPriority w:val="0"/>
    <w:pPr>
      <w:widowControl w:val="0"/>
      <w:autoSpaceDE w:val="0"/>
      <w:autoSpaceDN w:val="0"/>
      <w:adjustRightInd w:val="0"/>
    </w:pPr>
    <w:rPr>
      <w:rFonts w:hint="eastAsia" w:ascii="黑体" w:hAnsi="黑体" w:eastAsia="黑体" w:cs="Times New Roman"/>
      <w:color w:val="000000"/>
      <w:sz w:val="24"/>
      <w:lang w:val="en-US" w:eastAsia="zh-CN" w:bidi="ar-SA"/>
    </w:rPr>
  </w:style>
  <w:style w:type="character" w:customStyle="1" w:styleId="19">
    <w:name w:val="页脚 Char"/>
    <w:basedOn w:val="16"/>
    <w:link w:val="8"/>
    <w:qFormat/>
    <w:uiPriority w:val="99"/>
    <w:rPr>
      <w:kern w:val="2"/>
      <w:sz w:val="18"/>
    </w:rPr>
  </w:style>
  <w:style w:type="character" w:customStyle="1" w:styleId="20">
    <w:name w:val="标题 1 Char"/>
    <w:basedOn w:val="16"/>
    <w:link w:val="2"/>
    <w:qFormat/>
    <w:uiPriority w:val="9"/>
    <w:rPr>
      <w:b/>
      <w:bCs/>
      <w:kern w:val="44"/>
      <w:sz w:val="32"/>
      <w:szCs w:val="44"/>
    </w:rPr>
  </w:style>
  <w:style w:type="character" w:customStyle="1" w:styleId="21">
    <w:name w:val="标题 Char"/>
    <w:basedOn w:val="16"/>
    <w:link w:val="13"/>
    <w:qFormat/>
    <w:uiPriority w:val="10"/>
    <w:rPr>
      <w:rFonts w:asciiTheme="majorHAnsi" w:hAnsiTheme="majorHAnsi" w:cstheme="majorBidi"/>
      <w:b/>
      <w:bCs/>
      <w:kern w:val="2"/>
      <w:sz w:val="30"/>
      <w:szCs w:val="32"/>
    </w:rPr>
  </w:style>
  <w:style w:type="character" w:customStyle="1" w:styleId="22">
    <w:name w:val="副标题 Char"/>
    <w:basedOn w:val="16"/>
    <w:link w:val="11"/>
    <w:qFormat/>
    <w:uiPriority w:val="11"/>
    <w:rPr>
      <w:rFonts w:asciiTheme="majorHAnsi" w:hAnsiTheme="majorHAnsi" w:cstheme="majorBidi"/>
      <w:bCs/>
      <w:kern w:val="28"/>
      <w:sz w:val="28"/>
      <w:szCs w:val="32"/>
    </w:rPr>
  </w:style>
  <w:style w:type="paragraph" w:customStyle="1" w:styleId="23">
    <w:name w:val="TOC 标题1"/>
    <w:basedOn w:val="2"/>
    <w:next w:val="1"/>
    <w:unhideWhenUsed/>
    <w:qFormat/>
    <w:uiPriority w:val="39"/>
    <w:p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批注框文本 Char"/>
    <w:basedOn w:val="16"/>
    <w:link w:val="7"/>
    <w:semiHidden/>
    <w:qFormat/>
    <w:uiPriority w:val="99"/>
    <w:rPr>
      <w:kern w:val="2"/>
      <w:sz w:val="18"/>
      <w:szCs w:val="18"/>
    </w:rPr>
  </w:style>
  <w:style w:type="character" w:customStyle="1" w:styleId="25">
    <w:name w:val="标题 2 Char"/>
    <w:basedOn w:val="16"/>
    <w:link w:val="3"/>
    <w:semiHidden/>
    <w:qFormat/>
    <w:uiPriority w:val="9"/>
    <w:rPr>
      <w:rFonts w:asciiTheme="majorHAnsi" w:hAnsiTheme="majorHAnsi" w:eastAsiaTheme="majorEastAsia" w:cstheme="majorBidi"/>
      <w:b/>
      <w:bCs/>
      <w:kern w:val="2"/>
      <w:sz w:val="32"/>
      <w:szCs w:val="32"/>
    </w:rPr>
  </w:style>
  <w:style w:type="character" w:customStyle="1" w:styleId="26">
    <w:name w:val="标题 3 Char"/>
    <w:basedOn w:val="16"/>
    <w:link w:val="4"/>
    <w:semiHidden/>
    <w:qFormat/>
    <w:uiPriority w:val="9"/>
    <w:rPr>
      <w:b/>
      <w:bCs/>
      <w:kern w:val="2"/>
      <w:sz w:val="32"/>
      <w:szCs w:val="32"/>
    </w:rPr>
  </w:style>
  <w:style w:type="character" w:customStyle="1" w:styleId="27">
    <w:name w:val="批注文字 Char"/>
    <w:basedOn w:val="16"/>
    <w:link w:val="5"/>
    <w:semiHidden/>
    <w:qFormat/>
    <w:uiPriority w:val="99"/>
    <w:rPr>
      <w:kern w:val="2"/>
      <w:sz w:val="28"/>
    </w:rPr>
  </w:style>
  <w:style w:type="paragraph" w:customStyle="1" w:styleId="2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2C8E9-0B8A-4A1C-B01F-9FD8BD68BA2E}">
  <ds:schemaRefs/>
</ds:datastoreItem>
</file>

<file path=docProps/app.xml><?xml version="1.0" encoding="utf-8"?>
<Properties xmlns="http://schemas.openxmlformats.org/officeDocument/2006/extended-properties" xmlns:vt="http://schemas.openxmlformats.org/officeDocument/2006/docPropsVTypes">
  <Template>Normal</Template>
  <Pages>10</Pages>
  <Words>1095</Words>
  <Characters>6245</Characters>
  <Lines>52</Lines>
  <Paragraphs>14</Paragraphs>
  <TotalTime>2</TotalTime>
  <ScaleCrop>false</ScaleCrop>
  <LinksUpToDate>false</LinksUpToDate>
  <CharactersWithSpaces>7326</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2017-11-20T03:28:00Z</dcterms:created>
  <dc:creator>Dell</dc:creator>
  <cp:lastModifiedBy>Administrator</cp:lastModifiedBy>
  <cp:lastPrinted>2017-07-11T03:22:00Z</cp:lastPrinted>
  <dcterms:modified xsi:type="dcterms:W3CDTF">2019-05-28T07:30:43Z</dcterms:modified>
  <dc:title>北京大学以研究生毕业同等学力</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y fmtid="{D5CDD505-2E9C-101B-9397-08002B2CF9AE}" pid="3" name="KSORubyTemplateID" linkTarget="0">
    <vt:lpwstr>6</vt:lpwstr>
  </property>
</Properties>
</file>