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center"/>
        <w:textAlignment w:val="auto"/>
        <w:outlineLvl w:val="9"/>
        <w:rPr>
          <w:rFonts w:hint="eastAsia" w:ascii="黑体" w:hAnsi="黑体" w:eastAsia="黑体" w:cs="黑体"/>
          <w:sz w:val="28"/>
          <w:szCs w:val="28"/>
        </w:rPr>
      </w:pPr>
      <w:r>
        <w:rPr>
          <w:rFonts w:hint="eastAsia" w:ascii="黑体" w:hAnsi="黑体" w:eastAsia="黑体" w:cs="黑体"/>
          <w:b/>
          <w:sz w:val="28"/>
          <w:szCs w:val="28"/>
          <w:lang w:val="en-US" w:eastAsia="zh-CN"/>
        </w:rPr>
        <w:t>2019年金融（0251</w:t>
      </w:r>
      <w:bookmarkStart w:id="0" w:name="_GoBack"/>
      <w:bookmarkEnd w:id="0"/>
      <w:r>
        <w:rPr>
          <w:rFonts w:hint="eastAsia" w:ascii="黑体" w:hAnsi="黑体" w:eastAsia="黑体" w:cs="黑体"/>
          <w:b/>
          <w:sz w:val="28"/>
          <w:szCs w:val="28"/>
          <w:lang w:val="en-US" w:eastAsia="zh-CN"/>
        </w:rPr>
        <w:t>00）431</w:t>
      </w:r>
      <w:r>
        <w:rPr>
          <w:rFonts w:hint="eastAsia" w:ascii="黑体" w:hAnsi="黑体" w:eastAsia="黑体" w:cs="黑体"/>
          <w:b/>
          <w:sz w:val="28"/>
          <w:szCs w:val="28"/>
        </w:rPr>
        <w:t>金融学综合考试大纲</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（一）、考试目的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《金融学综合》是金融硕士专业学位入学考试专业基础综合笔试科目，其目的是考察考生对于金融学基本理论和公司金融基本知识的掌握和运用能力。</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（二）、考试的性质与范围</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金融学综合》是金融硕士专业学位研究生入学统一考试的科目之一。《金融学综合》考试要力求反映金融硕士专业学位的特点，科学、公平、准确、规范地测评考生的基本素质和综合能力，选拔具有发展潜力的优秀人才入学，为国家的经济建设培养具有良好职业道德、具有较强分析与解决实际问题能力的高层次、应用型、复合型的金融专业人才。</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考试范围包括《金融学》和《公司金融》两门课程的基础知识。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（三）、考试基本要求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测试考生对于与金融学和公司金融相关的基本概念、基础理论的掌握和运用能力。</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（四）、考试形式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本考试满分150分，考试时间为3小时，答题方式为闭卷笔试。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（五）、考试内容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内容比例：金融学部分为90分，公司金融部分为60分。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（六）金融学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1.货币与货币制度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（1）货币的职能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（2）货币制度：货币制度的构成要素、货币制度的演变和发展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（3）国际货币体系：国际货币制度的概念及分类、国际货币制度的历史演进</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（4）现行国际货币体系：牙买加协议的主要内容、牙买加体系的运行情况、国际货币基金组织的构成与职能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（5）欧洲货币一体化：最优货币区理论、欧洲货币一体化的沿革：四个阶段、欧洲货币体系的主要内容与运行情况、欧洲单一货币与欧元</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2.利息与利率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（1）利息：利息本质的理论（古典经济学的利息本质理论、近代西方经济学的利息本质理论、马克思关于利息本质的理论）、利息的计算（单利和复利）、利率的分类、利率的作用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（2）利率决定理论：古典学派的储蓄——投资理论、凯恩斯的流动性偏好理论、可贷资金理论和IS-LM模型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（3）利率的期限结构：解释利率期限结构的理论（预期理论、市场分割理论、偏好理论）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3.外汇与汇率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（1）外汇：外汇的概念、一种外币资产成为外汇的条件、外汇的基本特征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（2）汇率与汇率制度：汇率的概念、汇率的标价方法、汇率的种类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（3）币值、利率与汇率：币值与利率、币值与汇率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（4）汇率决定理论：购买力平价理论、利率</w:t>
      </w:r>
      <w:r>
        <w:rPr>
          <w:rFonts w:hint="eastAsia" w:ascii="宋体" w:hAnsi="宋体" w:eastAsia="宋体"/>
          <w:color w:val="auto"/>
          <w:szCs w:val="21"/>
          <w:highlight w:val="none"/>
          <w:lang w:eastAsia="zh-CN"/>
        </w:rPr>
        <w:t>平</w:t>
      </w:r>
      <w:r>
        <w:rPr>
          <w:rFonts w:hint="eastAsia" w:ascii="宋体" w:hAnsi="宋体" w:eastAsia="宋体"/>
          <w:color w:val="auto"/>
          <w:szCs w:val="21"/>
          <w:highlight w:val="none"/>
        </w:rPr>
        <w:t>价</w:t>
      </w:r>
      <w:r>
        <w:rPr>
          <w:rFonts w:hint="eastAsia" w:ascii="宋体" w:hAnsi="宋体" w:eastAsia="宋体"/>
          <w:szCs w:val="21"/>
        </w:rPr>
        <w:t>理论、国际收支理论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4.金融市场与机构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（1）金融市场及其要素：金融市场的定义、金融资产的定义与特征、金融市场的功能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（2）货币市场：票据与贴现市场、国库券市场、可转让大额存单市场、回购市场、银行间拆借市场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（3）资本市场：股票市场、债券市场、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（4）衍生工具市场：远期和期货、期权、互换</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（5）金融机构：银行机构、信托投资公司、财务公司、金融租赁公司、保险公司、投资基金</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5.商业银行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（1）商业银行的负债业务：资本金业务、存款业务、借款业务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（2）商业银行的资产业务：现金业务、贷款业务、投资业务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（3）商业银行的中间业务和表外业务：结算业务、信托业务、代理业务、租赁业务、表外业务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（4）商业银行的风险特征：信用风险特征、市场风险特征、操作风险特征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6.现代货币创造机制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（1）存款货币的创造机制：货币层次</w:t>
      </w:r>
      <w:r>
        <w:rPr>
          <w:rFonts w:hint="eastAsia" w:ascii="宋体" w:hAnsi="宋体" w:eastAsia="宋体"/>
          <w:szCs w:val="21"/>
          <w:highlight w:val="none"/>
          <w:lang w:eastAsia="zh-CN"/>
        </w:rPr>
        <w:t>划</w:t>
      </w:r>
      <w:r>
        <w:rPr>
          <w:rFonts w:hint="eastAsia" w:ascii="宋体" w:hAnsi="宋体" w:eastAsia="宋体"/>
          <w:szCs w:val="21"/>
          <w:highlight w:val="none"/>
        </w:rPr>
        <w:t>分</w:t>
      </w:r>
      <w:r>
        <w:rPr>
          <w:rFonts w:hint="eastAsia" w:ascii="宋体" w:hAnsi="宋体" w:eastAsia="宋体"/>
          <w:szCs w:val="21"/>
        </w:rPr>
        <w:t>的理论及实践、存款创造的条件、多倍存款扩张的过程、存款收缩过程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（2）中央银行的职能：发行的银行、政府的银行、银行的银行、管理金融的银行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（3）中央银行体制下的货币创造过程：现金如何进入流通、现金发行与现金回笼、基础货币与货币乘数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7.货币供求与均衡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（1）货币需求理论：传统的货币数量论、凯恩斯的流动性偏好理论、弗里德曼的货币需求函数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（2）货币供给：基础货币（概念、决定因素）、货币乘数（概念、决定因素、对货币供给的影响）、中国的货币供给（中国货币层次及其乘数、基础货币的影响因素、货币乘数、中国货币供应的波动）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（3）货币均衡：货币均衡与货币非均衡、货币均衡与利率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（4）通货膨胀与通货紧缩：通货膨胀概述（定义、分类、度量、成因）、通货膨胀的效应、通货膨胀的治理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（5）通货紧缩：通货紧缩的定义、通货紧缩的社会经济效应</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8.货币政策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（1）货币政策及其目标：货币政策的含义、货币政策目标的含义、货币政策最终目标、货币政策的中间目标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（2）货币政策工具：一般性质政策工具、选择性的货币政策工具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（3）货币政策的传导机制和中介指标：货币政策传导机制的内涵、货币政策传导渠道的理论分析（凯恩斯的利率传导机制理论、托宾的Q理论、莫迪利安尼</w:t>
      </w:r>
      <w:r>
        <w:rPr>
          <w:rFonts w:hint="eastAsia" w:ascii="宋体" w:hAnsi="宋体" w:eastAsia="宋体"/>
          <w:szCs w:val="21"/>
          <w:highlight w:val="none"/>
          <w:lang w:eastAsia="zh-CN"/>
        </w:rPr>
        <w:t>的</w:t>
      </w:r>
      <w:r>
        <w:rPr>
          <w:rFonts w:hint="eastAsia" w:ascii="宋体" w:hAnsi="宋体" w:eastAsia="宋体"/>
          <w:szCs w:val="21"/>
        </w:rPr>
        <w:t>恒久收入效应、财富调整论、信贷配给传导机制、汇率传导机制）、货币政策中介指标的选择标准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9.国际收支与国际资本流动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（1）国际收支：国际收支项目、国际收支平衡表（定义、编制原则、基本内容</w:t>
      </w:r>
      <w:r>
        <w:rPr>
          <w:rFonts w:hint="eastAsia" w:ascii="宋体" w:hAnsi="宋体" w:eastAsia="宋体"/>
          <w:szCs w:val="21"/>
          <w:highlight w:val="none"/>
          <w:lang w:eastAsia="zh-CN"/>
        </w:rPr>
        <w:t>、</w:t>
      </w:r>
      <w:r>
        <w:rPr>
          <w:rFonts w:hint="eastAsia" w:ascii="宋体" w:hAnsi="宋体" w:eastAsia="宋体"/>
          <w:szCs w:val="21"/>
        </w:rPr>
        <w:t>国际收支平衡表分析）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（2）国际储备：国际储备政策的概念、国际储备的作用、国际储备的机构管理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（3）国际资本流动：国际资本流动的概念、长期资本流动、短期资本流动、国际资本流动的影响</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10.金融监管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（1）金融监管理论：社会利益论、金融风险论、投资者利益保护论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（2）巴塞尔协议：1988年版巴塞尔协议的主要内容、2004年版巴塞尔协议的主要内容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（3）金融机构监管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（4）金融市场监管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（七）公司金融</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1.公司金融概述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（1）什么是公司金融</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（2）财务管理目标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2.财务报表分析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（1）会计报表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（2）财务报表比率分析：偿债能力分析、营运能力分析、获利能力分析、综合财务比率分析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3.长期财务规划</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（1）销售百分比法：定义、步骤、预测模型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（2）外部融资与增长：稳定状态下的持续增长模型、非稳定状态下的持续增长模型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4.折现与价值</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（1）现金流与折现：现值与终值、单利终值与现值的计算、复利终值与现值的计算、年金终值与现值的计算</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（2）债券的估值：永久债券的定价模型、有限到期日的债券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（3）股票的估值：优先股定价、普通股定价（股利贴现模型、市盈率PE）</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5.资本预算</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（1）投资决策方法：回收期法、会计平均收益法、净现值法、内部收益率法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（2）增量现金流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（3）净现值运用：定义、计算</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（4）资本预算中的风险分析：公司风险、市场风险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6.风险与收益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（1）风险与收益的度量：投资风险收益的定义、单个证券的收益与风险的衡量、证券组合的收益与风险的衡量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（2）均值方差模型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（3）资本资产定价模型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（4）无套利定价模型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7.加权平均资本成本</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（1）贝塔的估计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（2）加权平均资本成本：定义、计算</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8.有效市场假说</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（1）有效资本市场的概念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（2）有效资本市场的形式：弱式有效、中强式有效、强式有效</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（3）有效市场与公司财务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9.资本机构与公司价值</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（1）债务融资与股权融资：债务融资（定义、特点、类型结构）、股权融资（定义、特点、类型结构）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（2）资本结构：资本结构的定义、最优资本结构决策、资本结构的调整</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（3）MM定理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10.公司价值评估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（1）公司价值评估的主要方法：收益法、市场法、成本法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r>
        <w:rPr>
          <w:rFonts w:hint="eastAsia" w:ascii="宋体" w:hAnsi="宋体" w:eastAsia="宋体"/>
          <w:szCs w:val="21"/>
        </w:rPr>
        <w:t>（2）三种方法的应用与比较</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ascii="宋体" w:hAnsi="宋体" w:eastAsia="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C14"/>
    <w:rsid w:val="0007352E"/>
    <w:rsid w:val="000A2957"/>
    <w:rsid w:val="000A2DF9"/>
    <w:rsid w:val="000C347C"/>
    <w:rsid w:val="000C5A28"/>
    <w:rsid w:val="000D4721"/>
    <w:rsid w:val="00192D39"/>
    <w:rsid w:val="00197D88"/>
    <w:rsid w:val="001B41D4"/>
    <w:rsid w:val="00267017"/>
    <w:rsid w:val="002C27F1"/>
    <w:rsid w:val="002D2053"/>
    <w:rsid w:val="00307A56"/>
    <w:rsid w:val="00355EF2"/>
    <w:rsid w:val="003710C8"/>
    <w:rsid w:val="0039177E"/>
    <w:rsid w:val="003F544D"/>
    <w:rsid w:val="0044732E"/>
    <w:rsid w:val="004925B8"/>
    <w:rsid w:val="004944F9"/>
    <w:rsid w:val="004B4EF9"/>
    <w:rsid w:val="005128C5"/>
    <w:rsid w:val="00524E5E"/>
    <w:rsid w:val="00543BF0"/>
    <w:rsid w:val="005614F3"/>
    <w:rsid w:val="005B532E"/>
    <w:rsid w:val="005B5A47"/>
    <w:rsid w:val="005E5D04"/>
    <w:rsid w:val="0060033C"/>
    <w:rsid w:val="00602378"/>
    <w:rsid w:val="00603165"/>
    <w:rsid w:val="00614AAE"/>
    <w:rsid w:val="00635349"/>
    <w:rsid w:val="00683F66"/>
    <w:rsid w:val="006F351F"/>
    <w:rsid w:val="007034E8"/>
    <w:rsid w:val="00723A5A"/>
    <w:rsid w:val="00744231"/>
    <w:rsid w:val="00747B01"/>
    <w:rsid w:val="00782447"/>
    <w:rsid w:val="007D77A2"/>
    <w:rsid w:val="00806476"/>
    <w:rsid w:val="00856F0D"/>
    <w:rsid w:val="008C6C14"/>
    <w:rsid w:val="008F535C"/>
    <w:rsid w:val="008F7102"/>
    <w:rsid w:val="00930128"/>
    <w:rsid w:val="00930AE0"/>
    <w:rsid w:val="009B3C52"/>
    <w:rsid w:val="009C28A3"/>
    <w:rsid w:val="009E1284"/>
    <w:rsid w:val="009E79D4"/>
    <w:rsid w:val="009F2DF8"/>
    <w:rsid w:val="00A90DEF"/>
    <w:rsid w:val="00A96C3A"/>
    <w:rsid w:val="00AB03DD"/>
    <w:rsid w:val="00AC0A3B"/>
    <w:rsid w:val="00AC1A57"/>
    <w:rsid w:val="00AE0F44"/>
    <w:rsid w:val="00B83956"/>
    <w:rsid w:val="00B96B66"/>
    <w:rsid w:val="00BC6CDE"/>
    <w:rsid w:val="00BE1AEB"/>
    <w:rsid w:val="00C06DDA"/>
    <w:rsid w:val="00CB68BE"/>
    <w:rsid w:val="00D0771F"/>
    <w:rsid w:val="00D65CEF"/>
    <w:rsid w:val="00DC38EC"/>
    <w:rsid w:val="00DD6E23"/>
    <w:rsid w:val="00E51D0F"/>
    <w:rsid w:val="00EB3DDA"/>
    <w:rsid w:val="00F11ED7"/>
    <w:rsid w:val="00F325CC"/>
    <w:rsid w:val="00F53C5A"/>
    <w:rsid w:val="00FB13C1"/>
    <w:rsid w:val="00FC7130"/>
    <w:rsid w:val="00FD6920"/>
    <w:rsid w:val="418D0FCE"/>
    <w:rsid w:val="6B097AF1"/>
    <w:rsid w:val="6B5C4B5C"/>
    <w:rsid w:val="7E5F0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9">
    <w:name w:val="网格型1"/>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10">
    <w:name w:val="List Paragraph"/>
    <w:basedOn w:val="1"/>
    <w:qFormat/>
    <w:uiPriority w:val="34"/>
    <w:pPr>
      <w:ind w:firstLine="420" w:firstLineChars="200"/>
    </w:pPr>
  </w:style>
  <w:style w:type="character" w:customStyle="1" w:styleId="11">
    <w:name w:val="页眉 Char"/>
    <w:basedOn w:val="5"/>
    <w:link w:val="4"/>
    <w:qFormat/>
    <w:uiPriority w:val="99"/>
    <w:rPr>
      <w:sz w:val="18"/>
      <w:szCs w:val="18"/>
    </w:rPr>
  </w:style>
  <w:style w:type="character" w:customStyle="1" w:styleId="12">
    <w:name w:val="页脚 Char"/>
    <w:basedOn w:val="5"/>
    <w:link w:val="3"/>
    <w:qFormat/>
    <w:uiPriority w:val="99"/>
    <w:rPr>
      <w:sz w:val="18"/>
      <w:szCs w:val="18"/>
    </w:rPr>
  </w:style>
  <w:style w:type="character" w:customStyle="1" w:styleId="13">
    <w:name w:val="未处理的提及1"/>
    <w:basedOn w:val="5"/>
    <w:semiHidden/>
    <w:unhideWhenUsed/>
    <w:qFormat/>
    <w:uiPriority w:val="99"/>
    <w:rPr>
      <w:color w:val="808080"/>
      <w:shd w:val="clear" w:color="auto" w:fill="E6E6E6"/>
    </w:rPr>
  </w:style>
  <w:style w:type="character" w:customStyle="1" w:styleId="14">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639</Words>
  <Characters>3646</Characters>
  <Lines>30</Lines>
  <Paragraphs>8</Paragraphs>
  <TotalTime>2</TotalTime>
  <ScaleCrop>false</ScaleCrop>
  <LinksUpToDate>false</LinksUpToDate>
  <CharactersWithSpaces>4277</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2018-06-09T11:19:00Z</dcterms:created>
  <dc:creator>ww</dc:creator>
  <cp:lastModifiedBy>我未来是个瘦子</cp:lastModifiedBy>
  <cp:lastPrinted>2018-03-20T04:33:00Z</cp:lastPrinted>
  <dcterms:modified xsi:type="dcterms:W3CDTF">2018-07-16T01:27:47Z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