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r>
        <w:rPr>
          <w:rFonts w:hint="eastAsia"/>
          <w:b/>
          <w:sz w:val="32"/>
          <w:szCs w:val="32"/>
        </w:rPr>
        <w:t>植物保护学院优秀硕士研究生入学奖学金评定暂行办法</w:t>
      </w:r>
    </w:p>
    <w:bookmarkEnd w:id="0"/>
    <w:p>
      <w:pPr>
        <w:jc w:val="center"/>
        <w:rPr>
          <w:b/>
          <w:sz w:val="32"/>
          <w:szCs w:val="32"/>
        </w:rPr>
      </w:pP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为进一步推进研究生培养机制改革，提高研究生生源质量，优化生源结构，进一步完善我院英龍奖学金体系，鼓励更多优秀学生攻读我院硕士学位，特设立优秀硕士研究生入学奖学金，并制定本暂行办法。</w:t>
      </w:r>
    </w:p>
    <w:p>
      <w:pPr>
        <w:numPr>
          <w:ilvl w:val="0"/>
          <w:numId w:val="1"/>
        </w:num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奖励对象</w:t>
      </w: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攻读我院硕士学位的全日制脱产研究生新生。</w:t>
      </w:r>
    </w:p>
    <w:p>
      <w:pPr>
        <w:spacing w:line="3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二、奖励类别及标准与申请范围</w:t>
      </w: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学术型硕士组：</w:t>
      </w: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1．一等奖为24000元/生，申请范围为本科就读于原“985”、“211”高校或福建省高水平建设大学，获就读学校推荐免试攻读硕士学位研究生资格并被我院录取的学术型硕士新生。</w:t>
      </w: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二等奖为12000元/生，申请范围为本科就读于原“985”、“211”高校或福建省高水平建设大学，第一志愿报考我院并被录取的学术型硕士新生；或获本科就读学校推荐免试攻读硕士学位研究生资格并被我院录取的学术型硕士新生。</w:t>
      </w:r>
    </w:p>
    <w:p>
      <w:pPr>
        <w:spacing w:line="3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3．三等奖为6000 元/生，申请范围为非原“985”、“211”高校或福建省高水平建设大学且第一志愿报考我院并被录取的学术型硕士新生。</w:t>
      </w:r>
    </w:p>
    <w:p>
      <w:pPr>
        <w:spacing w:line="3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专业型硕士组：</w:t>
      </w: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1．一等奖为16000元/生，申请范围为本科就读于原“985”、“211”高校或福建省高水平建设大学，获就读学校推荐免试攻读硕士学位研究生资格并被我院录取的专业型硕士新生。</w:t>
      </w:r>
    </w:p>
    <w:p>
      <w:pPr>
        <w:spacing w:line="3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二等奖为8000元/生，申请范围为本科就读于原“985”、“211”高校或福建省高水平建设大学，第一志愿报考我院并被录取的专业型硕士新生；或获本科就读学校推荐免试攻读硕士学位研究生资格并被我院录取的专业型硕士新生。</w:t>
      </w:r>
    </w:p>
    <w:p>
      <w:pPr>
        <w:spacing w:line="3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3．三等奖为4000 元/生，申请范围为非原“985”、“211”高校或福建省高水平建设大学且第一志愿报考我院并被录取的专业型硕士新生。</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三、申请及评审程序</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（一）个人申请。符合奖励对象和申请条件的学生，在参加复试时向学院递交申请，填写《植物保护学院优秀硕士研究生入学奖学金申请表》。</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（二）学院审核。学院对学生申请材料进行初步审核、汇总，将学生申请材料报学院优秀硕士研究生入学奖学金评审小组。</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三）评审小组审核。学院优秀硕士研究生入学奖学金评审小组根据申请人思想政治表现、学习情况及科研潜质等情况，进行综合评审，评定获奖候选人，经学院公示无异议，报学院党政联席会议通过，确定奖学金获得者。</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四、奖学金发放方式</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上述各奖项额度按学年分两批次发放完毕。第一批次在第一学年第一学期末发放所获奖项额度的50%，剩余额度在第二学年第一学期末发放。</w:t>
      </w:r>
    </w:p>
    <w:p>
      <w:pPr>
        <w:spacing w:line="3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五、申请人应诚实守信，如实填报申请信息。如发现弄虚作假行为，取消获评资格。</w:t>
      </w:r>
    </w:p>
    <w:p>
      <w:pPr>
        <w:spacing w:line="340" w:lineRule="exact"/>
        <w:ind w:firstLine="560" w:firstLineChars="200"/>
        <w:rPr>
          <w:rFonts w:ascii="宋体" w:hAnsi="宋体" w:eastAsia="宋体" w:cs="宋体"/>
          <w:sz w:val="28"/>
          <w:szCs w:val="28"/>
        </w:rPr>
      </w:pPr>
      <w:r>
        <w:rPr>
          <w:rFonts w:hint="eastAsia" w:ascii="宋体" w:hAnsi="宋体" w:eastAsia="宋体" w:cs="宋体"/>
          <w:sz w:val="28"/>
          <w:szCs w:val="28"/>
        </w:rPr>
        <w:t>五、本办法自院党政联席会议通过之日起生效，从2017级硕士生开始实施。</w:t>
      </w:r>
    </w:p>
    <w:p>
      <w:pPr>
        <w:spacing w:line="340" w:lineRule="exact"/>
        <w:ind w:firstLine="560" w:firstLineChars="200"/>
        <w:rPr>
          <w:sz w:val="28"/>
          <w:szCs w:val="28"/>
        </w:rPr>
      </w:pPr>
      <w:r>
        <w:rPr>
          <w:rFonts w:hint="eastAsia" w:ascii="宋体" w:hAnsi="宋体" w:eastAsia="宋体" w:cs="宋体"/>
          <w:sz w:val="28"/>
          <w:szCs w:val="28"/>
        </w:rPr>
        <w:t>六、本办法由植物保护学院负责解释。</w:t>
      </w:r>
    </w:p>
    <w:p>
      <w:pPr>
        <w:spacing w:line="340" w:lineRule="exact"/>
        <w:ind w:firstLine="560" w:firstLineChars="200"/>
        <w:jc w:val="right"/>
        <w:rPr>
          <w:rFonts w:ascii="宋体" w:hAnsi="宋体" w:eastAsia="宋体" w:cs="宋体"/>
          <w:sz w:val="28"/>
          <w:szCs w:val="28"/>
        </w:rPr>
      </w:pPr>
      <w:r>
        <w:rPr>
          <w:rFonts w:hint="eastAsia" w:ascii="宋体" w:hAnsi="宋体" w:eastAsia="宋体" w:cs="宋体"/>
          <w:sz w:val="28"/>
          <w:szCs w:val="28"/>
        </w:rPr>
        <w:t>福建农林大学植物保护学院</w:t>
      </w:r>
    </w:p>
    <w:p>
      <w:pPr>
        <w:spacing w:line="340" w:lineRule="exact"/>
        <w:ind w:firstLine="560" w:firstLineChars="200"/>
        <w:jc w:val="right"/>
        <w:rPr>
          <w:rFonts w:ascii="宋体" w:hAnsi="宋体" w:eastAsia="宋体" w:cs="宋体"/>
          <w:sz w:val="28"/>
          <w:szCs w:val="28"/>
        </w:rPr>
      </w:pPr>
      <w:r>
        <w:rPr>
          <w:rFonts w:hint="eastAsia" w:ascii="宋体" w:hAnsi="宋体" w:eastAsia="宋体" w:cs="宋体"/>
          <w:sz w:val="28"/>
          <w:szCs w:val="28"/>
        </w:rPr>
        <w:t>2016年9月29日</w:t>
      </w:r>
    </w:p>
    <w:sectPr>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D4D3"/>
    <w:multiLevelType w:val="singleLevel"/>
    <w:tmpl w:val="57E9D4D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58"/>
    <w:rsid w:val="000D2B3A"/>
    <w:rsid w:val="002B5D53"/>
    <w:rsid w:val="004B2E64"/>
    <w:rsid w:val="00532558"/>
    <w:rsid w:val="00700D68"/>
    <w:rsid w:val="00755096"/>
    <w:rsid w:val="00756AEB"/>
    <w:rsid w:val="00832FC7"/>
    <w:rsid w:val="0093429E"/>
    <w:rsid w:val="009716CE"/>
    <w:rsid w:val="009D1FBD"/>
    <w:rsid w:val="00B22438"/>
    <w:rsid w:val="00B419CA"/>
    <w:rsid w:val="00C726C9"/>
    <w:rsid w:val="00CC4FF5"/>
    <w:rsid w:val="00D748B1"/>
    <w:rsid w:val="02D20F4C"/>
    <w:rsid w:val="030F4253"/>
    <w:rsid w:val="04C26754"/>
    <w:rsid w:val="05272D50"/>
    <w:rsid w:val="059871BC"/>
    <w:rsid w:val="05C05936"/>
    <w:rsid w:val="06C4195F"/>
    <w:rsid w:val="072840F4"/>
    <w:rsid w:val="09816FC0"/>
    <w:rsid w:val="0B7F3427"/>
    <w:rsid w:val="0BF11594"/>
    <w:rsid w:val="0CEA0A11"/>
    <w:rsid w:val="0D825A56"/>
    <w:rsid w:val="0E24777A"/>
    <w:rsid w:val="0F363832"/>
    <w:rsid w:val="0F454C5F"/>
    <w:rsid w:val="0F571D73"/>
    <w:rsid w:val="0FF74DE1"/>
    <w:rsid w:val="103F7FCC"/>
    <w:rsid w:val="110E6530"/>
    <w:rsid w:val="13134E78"/>
    <w:rsid w:val="1643717B"/>
    <w:rsid w:val="177F28CA"/>
    <w:rsid w:val="1A981FD0"/>
    <w:rsid w:val="1BCA71F4"/>
    <w:rsid w:val="1C6B29EB"/>
    <w:rsid w:val="1C82676F"/>
    <w:rsid w:val="1D2851D8"/>
    <w:rsid w:val="1D4E4C39"/>
    <w:rsid w:val="1F796F54"/>
    <w:rsid w:val="1F975FC9"/>
    <w:rsid w:val="1FDE30F9"/>
    <w:rsid w:val="20C35CF5"/>
    <w:rsid w:val="21810154"/>
    <w:rsid w:val="22602434"/>
    <w:rsid w:val="22AC6030"/>
    <w:rsid w:val="237E19F4"/>
    <w:rsid w:val="238430E6"/>
    <w:rsid w:val="24630BAB"/>
    <w:rsid w:val="250F4E71"/>
    <w:rsid w:val="26093CB2"/>
    <w:rsid w:val="26544E87"/>
    <w:rsid w:val="28760399"/>
    <w:rsid w:val="29B514D8"/>
    <w:rsid w:val="29C268E5"/>
    <w:rsid w:val="2C251324"/>
    <w:rsid w:val="2C321A50"/>
    <w:rsid w:val="2C40245A"/>
    <w:rsid w:val="2D902A61"/>
    <w:rsid w:val="2EC85CB2"/>
    <w:rsid w:val="306F3C1F"/>
    <w:rsid w:val="3117143F"/>
    <w:rsid w:val="315D16AB"/>
    <w:rsid w:val="3327712F"/>
    <w:rsid w:val="3578365F"/>
    <w:rsid w:val="375148E9"/>
    <w:rsid w:val="38844107"/>
    <w:rsid w:val="397270C2"/>
    <w:rsid w:val="3B225A64"/>
    <w:rsid w:val="3CAA2D02"/>
    <w:rsid w:val="3CEF5E00"/>
    <w:rsid w:val="40101739"/>
    <w:rsid w:val="43AC7E9E"/>
    <w:rsid w:val="43D3324A"/>
    <w:rsid w:val="46E50BC9"/>
    <w:rsid w:val="47743E91"/>
    <w:rsid w:val="488572C4"/>
    <w:rsid w:val="489C785E"/>
    <w:rsid w:val="4C3F261D"/>
    <w:rsid w:val="4F4D47CD"/>
    <w:rsid w:val="4F9D4BD8"/>
    <w:rsid w:val="50544060"/>
    <w:rsid w:val="50D56AFE"/>
    <w:rsid w:val="513756FA"/>
    <w:rsid w:val="518F1E9A"/>
    <w:rsid w:val="523E5856"/>
    <w:rsid w:val="527A7A01"/>
    <w:rsid w:val="52EF61C2"/>
    <w:rsid w:val="53707424"/>
    <w:rsid w:val="542851EA"/>
    <w:rsid w:val="543A71D3"/>
    <w:rsid w:val="547066C2"/>
    <w:rsid w:val="55AC450B"/>
    <w:rsid w:val="55BB61A1"/>
    <w:rsid w:val="56321C3E"/>
    <w:rsid w:val="56B23084"/>
    <w:rsid w:val="56DF00B0"/>
    <w:rsid w:val="58FF544B"/>
    <w:rsid w:val="5A6207CC"/>
    <w:rsid w:val="5A6F22E9"/>
    <w:rsid w:val="5D2B24BA"/>
    <w:rsid w:val="5E176176"/>
    <w:rsid w:val="5EB852E7"/>
    <w:rsid w:val="61574431"/>
    <w:rsid w:val="61954FFC"/>
    <w:rsid w:val="63E4069A"/>
    <w:rsid w:val="64B64651"/>
    <w:rsid w:val="65772DAA"/>
    <w:rsid w:val="6622744B"/>
    <w:rsid w:val="67F67AF8"/>
    <w:rsid w:val="6A9135B9"/>
    <w:rsid w:val="6AAD6986"/>
    <w:rsid w:val="713C5EBB"/>
    <w:rsid w:val="716174DD"/>
    <w:rsid w:val="718446FD"/>
    <w:rsid w:val="73ED5C34"/>
    <w:rsid w:val="76096AB6"/>
    <w:rsid w:val="76D204C4"/>
    <w:rsid w:val="76F02EC1"/>
    <w:rsid w:val="770971DE"/>
    <w:rsid w:val="77766461"/>
    <w:rsid w:val="78404A96"/>
    <w:rsid w:val="78BA343C"/>
    <w:rsid w:val="79125D67"/>
    <w:rsid w:val="7CA26842"/>
    <w:rsid w:val="7D0A6C8A"/>
    <w:rsid w:val="7DCC45B7"/>
    <w:rsid w:val="7F2D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uiPriority w:val="0"/>
    <w:rPr>
      <w:sz w:val="18"/>
      <w:szCs w:val="18"/>
    </w:r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批注框文本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167</Words>
  <Characters>958</Characters>
  <Lines>7</Lines>
  <Paragraphs>2</Paragraphs>
  <TotalTime>266</TotalTime>
  <ScaleCrop>false</ScaleCrop>
  <LinksUpToDate>false</LinksUpToDate>
  <CharactersWithSpaces>1123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www</dc:creator>
  <cp:lastModifiedBy>大亭</cp:lastModifiedBy>
  <cp:lastPrinted>2016-09-29T02:40:00Z</cp:lastPrinted>
  <dcterms:modified xsi:type="dcterms:W3CDTF">2020-03-08T14:42:46Z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