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300" w:afterAutospacing="0"/>
        <w:ind w:left="0" w:right="0"/>
        <w:jc w:val="center"/>
        <w:rPr>
          <w:b/>
          <w:sz w:val="39"/>
          <w:szCs w:val="39"/>
        </w:rPr>
      </w:pPr>
      <w:bookmarkStart w:id="1" w:name="_GoBack"/>
      <w:r>
        <w:rPr>
          <w:b/>
          <w:sz w:val="39"/>
          <w:szCs w:val="39"/>
        </w:rPr>
        <w:t>太原师范学院生物系2019年硕士研究生招生调剂工作细则</w:t>
      </w:r>
    </w:p>
    <w:bookmarkEnd w:id="1"/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420"/>
        <w:rPr>
          <w:color w:val="666666"/>
          <w:sz w:val="24"/>
          <w:szCs w:val="24"/>
        </w:rPr>
      </w:pPr>
      <w:r>
        <w:rPr>
          <w:rFonts w:hint="default" w:ascii="Times New Roman" w:hAnsi="Times New Roman" w:cs="Times New Roman"/>
          <w:color w:val="666666"/>
          <w:sz w:val="24"/>
          <w:szCs w:val="24"/>
        </w:rPr>
        <w:t>2019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年全国硕士研究生统一入学考试进入复试调剂阶段，我系生物学科硕士研究生面向全国考生接收调剂，调剂专业及具体要求如下：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jc w:val="left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666666"/>
          <w:sz w:val="24"/>
          <w:szCs w:val="24"/>
        </w:rPr>
        <w:t>一、调剂专业和调剂指标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rPr>
          <w:color w:val="666666"/>
          <w:sz w:val="24"/>
          <w:szCs w:val="24"/>
        </w:rPr>
      </w:pPr>
    </w:p>
    <w:tbl>
      <w:tblPr>
        <w:tblW w:w="739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021"/>
        <w:gridCol w:w="2051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调剂计划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植物学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bookmarkStart w:id="0" w:name="OLE_LINK29"/>
            <w:bookmarkEnd w:id="0"/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动物学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color w:val="666666"/>
                <w:sz w:val="24"/>
                <w:szCs w:val="24"/>
              </w:rPr>
              <w:t>微生物学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495" w:lineRule="atLeast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全日制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rPr>
          <w:color w:val="666666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 1. 调剂考生初试成绩（单科和总成绩）达到国家教育部统一划定的A类地区复试分数线；</w:t>
      </w:r>
      <w:r>
        <w:rPr>
          <w:rStyle w:val="6"/>
          <w:rFonts w:hint="eastAsia" w:ascii="宋体" w:hAnsi="宋体" w:eastAsia="宋体" w:cs="宋体"/>
          <w:color w:val="666666"/>
          <w:sz w:val="24"/>
          <w:szCs w:val="24"/>
        </w:rPr>
        <w:t>二、复试和调剂要求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360" w:right="0" w:firstLine="0"/>
        <w:rPr>
          <w:color w:val="666666"/>
          <w:sz w:val="24"/>
          <w:szCs w:val="24"/>
        </w:rPr>
      </w:pPr>
      <w:r>
        <w:rPr>
          <w:rFonts w:hint="default" w:ascii="Times New Roman" w:hAnsi="Times New Roman" w:cs="Times New Roman"/>
          <w:color w:val="666666"/>
          <w:sz w:val="24"/>
          <w:szCs w:val="24"/>
        </w:rPr>
        <w:t>2. 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考生第一志愿报考专业与拟调剂专业相同或相近，跨学科调剂接受所跨专业与初试科目相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360" w:right="0" w:firstLine="36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同或相近专业；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360" w:right="0" w:firstLine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3. 优先接收第一志愿报考</w:t>
      </w:r>
      <w:r>
        <w:rPr>
          <w:rFonts w:hint="default" w:ascii="Times New Roman" w:hAnsi="Times New Roman" w:cs="Times New Roman"/>
          <w:color w:val="666666"/>
          <w:sz w:val="24"/>
          <w:szCs w:val="24"/>
        </w:rPr>
        <w:t>985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和</w:t>
      </w:r>
      <w:r>
        <w:rPr>
          <w:rFonts w:hint="default" w:ascii="Times New Roman" w:hAnsi="Times New Roman" w:cs="Times New Roman"/>
          <w:color w:val="666666"/>
          <w:sz w:val="24"/>
          <w:szCs w:val="24"/>
        </w:rPr>
        <w:t>211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和省部共建大学的考生；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360" w:right="0" w:firstLine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4. 拟调剂考生必须通过“中国研究生教育信息网”调剂系统进行调剂，否则调剂无效</w:t>
      </w:r>
      <w:r>
        <w:rPr>
          <w:rStyle w:val="6"/>
          <w:rFonts w:hint="eastAsia" w:ascii="宋体" w:hAnsi="宋体" w:eastAsia="宋体" w:cs="宋体"/>
          <w:color w:val="666666"/>
          <w:sz w:val="24"/>
          <w:szCs w:val="24"/>
        </w:rPr>
        <w:t>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360" w:right="0" w:firstLine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5. 初试总成绩相同情况下，以初试英语成绩为标准进行排序。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50" w:beforeAutospacing="0" w:after="210" w:afterAutospacing="0" w:line="495" w:lineRule="atLeast"/>
        <w:ind w:left="480" w:right="0"/>
        <w:rPr>
          <w:color w:val="666666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666666"/>
          <w:sz w:val="24"/>
          <w:szCs w:val="24"/>
        </w:rPr>
        <w:t>三、 </w:t>
      </w:r>
      <w:r>
        <w:rPr>
          <w:rStyle w:val="6"/>
          <w:rFonts w:hint="eastAsia" w:ascii="宋体" w:hAnsi="宋体" w:eastAsia="宋体" w:cs="宋体"/>
          <w:color w:val="666666"/>
          <w:sz w:val="24"/>
          <w:szCs w:val="24"/>
        </w:rPr>
        <w:t>申请程序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50" w:beforeAutospacing="0" w:after="210" w:afterAutospacing="0" w:line="495" w:lineRule="atLeast"/>
        <w:ind w:left="766" w:right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1. 调剂考生在教育部“中国研究生招生信息网”调剂系统中开通时间进行调剂信息填报；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766" w:right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2. 研究生处对已填报调剂信息的考生参照复试调剂要求进行筛选；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766" w:right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3. 考生点击“确定”同意参加复试，我系对已同意参加复试的考生安排资格审核和复试。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50" w:beforeAutospacing="0" w:after="210" w:afterAutospacing="0" w:line="495" w:lineRule="atLeast"/>
        <w:ind w:left="0" w:right="0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666666"/>
          <w:sz w:val="24"/>
          <w:szCs w:val="24"/>
        </w:rPr>
        <w:t> </w:t>
      </w:r>
      <w:r>
        <w:rPr>
          <w:rStyle w:val="6"/>
          <w:rFonts w:hint="default" w:ascii="Times New Roman" w:hAnsi="Times New Roman" w:cs="Times New Roman"/>
          <w:color w:val="666666"/>
          <w:sz w:val="24"/>
          <w:szCs w:val="24"/>
        </w:rPr>
        <w:t>                                                  </w:t>
      </w:r>
      <w:r>
        <w:rPr>
          <w:rFonts w:hint="default" w:ascii="Times New Roman" w:hAnsi="Times New Roman" w:cs="Times New Roman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50" w:beforeAutospacing="0" w:after="210" w:afterAutospacing="0" w:line="495" w:lineRule="atLeast"/>
        <w:ind w:left="0" w:right="0"/>
        <w:jc w:val="right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太原师范学院生物系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50" w:beforeAutospacing="0" w:after="210" w:afterAutospacing="0" w:line="495" w:lineRule="atLeast"/>
        <w:ind w:left="0" w:right="0"/>
        <w:jc w:val="right"/>
        <w:rPr>
          <w:color w:val="666666"/>
          <w:sz w:val="24"/>
          <w:szCs w:val="24"/>
        </w:rPr>
      </w:pPr>
      <w:r>
        <w:rPr>
          <w:rFonts w:hint="default" w:ascii="Times New Roman" w:hAnsi="Times New Roman" w:cs="Times New Roman"/>
          <w:color w:val="666666"/>
          <w:sz w:val="24"/>
          <w:szCs w:val="24"/>
        </w:rPr>
        <w:t>2019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年</w:t>
      </w:r>
      <w:r>
        <w:rPr>
          <w:rFonts w:hint="default" w:ascii="Times New Roman" w:hAnsi="Times New Roman" w:cs="Times New Roman"/>
          <w:color w:val="666666"/>
          <w:sz w:val="24"/>
          <w:szCs w:val="24"/>
        </w:rPr>
        <w:t>3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月</w:t>
      </w:r>
      <w:r>
        <w:rPr>
          <w:rFonts w:hint="default" w:ascii="Times New Roman" w:hAnsi="Times New Roman" w:cs="Times New Roman"/>
          <w:color w:val="666666"/>
          <w:sz w:val="24"/>
          <w:szCs w:val="24"/>
        </w:rPr>
        <w:t>20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日</w:t>
      </w:r>
      <w:r>
        <w:rPr>
          <w:rFonts w:hint="default" w:ascii="Times New Roman" w:hAnsi="Times New Roman" w:cs="Times New Roman"/>
          <w:color w:val="666666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E71DC"/>
    <w:rsid w:val="0CBF49BF"/>
    <w:rsid w:val="1EE25614"/>
    <w:rsid w:val="21CF77B5"/>
    <w:rsid w:val="22FB184C"/>
    <w:rsid w:val="25F0179D"/>
    <w:rsid w:val="2F3C1C2A"/>
    <w:rsid w:val="312C6E1D"/>
    <w:rsid w:val="32BE05D4"/>
    <w:rsid w:val="35E8045B"/>
    <w:rsid w:val="4A5C4992"/>
    <w:rsid w:val="5F545EC1"/>
    <w:rsid w:val="62E37EBA"/>
    <w:rsid w:val="72651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1787E0"/>
      <w:u w:val="none"/>
    </w:rPr>
  </w:style>
  <w:style w:type="character" w:styleId="8">
    <w:name w:val="Hyperlink"/>
    <w:basedOn w:val="5"/>
    <w:qFormat/>
    <w:uiPriority w:val="0"/>
    <w:rPr>
      <w:color w:val="1787E0"/>
      <w:u w:val="none"/>
    </w:rPr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2019-03-21T07:08:26Z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