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机电学</w:t>
      </w: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及自动化</w:t>
      </w:r>
      <w:r>
        <w:rPr>
          <w:rFonts w:hint="eastAsia" w:ascii="微软雅黑" w:hAnsi="微软雅黑" w:eastAsia="微软雅黑" w:cs="微软雅黑"/>
          <w:sz w:val="36"/>
          <w:szCs w:val="36"/>
        </w:rPr>
        <w:t>院推荐2020年优秀应届本科毕业生</w:t>
      </w:r>
    </w:p>
    <w:p>
      <w:pPr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免试攻读研究生科创分评分细则</w:t>
      </w:r>
    </w:p>
    <w:p>
      <w:pPr>
        <w:ind w:firstLine="420" w:firstLineChars="200"/>
      </w:pP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研究生院《关于做好2020年优秀应届本科毕业生免试攻读研究生推荐工作的通知》（研究〔2019〕65号）文件精神，经学院推免工作领导小组研究决定，对大学生参加以下科创活动并取得成果者分别给予鼓励加分，并制定本细则。</w:t>
      </w:r>
    </w:p>
    <w:p>
      <w:pPr>
        <w:spacing w:line="48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一、科创加分范围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科创加分范围由参加科创竞赛与学科竞赛获奖、发表学术论文、申获专利三部分组成。每个申请人只累计得分最高的前五项成果（非主要参与人项目累计不超过三项），总分以第一名和第二名的平均分为满分标准进行分数转化。</w:t>
      </w:r>
    </w:p>
    <w:p>
      <w:pPr>
        <w:spacing w:line="48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二、加分项目及加分标准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（一）科创竞赛及学科竞赛加分细则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赛事类别</w:t>
            </w:r>
          </w:p>
        </w:tc>
        <w:tc>
          <w:tcPr>
            <w:tcW w:w="2130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竞赛级别</w:t>
            </w:r>
          </w:p>
        </w:tc>
        <w:tc>
          <w:tcPr>
            <w:tcW w:w="2131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获奖等级</w:t>
            </w:r>
          </w:p>
        </w:tc>
        <w:tc>
          <w:tcPr>
            <w:tcW w:w="2131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加分标准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挑战杯、创青春、“互联网+”创新创业大赛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国家级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特等奖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省级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特等奖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校级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特等奖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机械创新设计大赛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、工程训练综合能力竞赛、工业设计大赛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国家级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省级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校级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中国大学生方程式汽车大赛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单项奖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机电学院相关学科其他赛事</w:t>
            </w:r>
          </w:p>
        </w:tc>
        <w:tc>
          <w:tcPr>
            <w:tcW w:w="2130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省级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校厅级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30" w:type="dxa"/>
            <w:vMerge w:val="continue"/>
          </w:tcPr>
          <w:p>
            <w:pPr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</w:tr>
    </w:tbl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1.每年新增竞赛活动由推免工作领导小组认定。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2.参赛获奖人数≤3人，获奖学生均按相应等级标准加分；参赛获奖人数＞3人的项目，排名前三按照100%加分，排名第四按75%计分，排名第五按50%计分，排名第六及以上按30%计分。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3.同种类别竞赛不同级别就高加分，不重复加分；同一年同种类别竞赛不同项目分数不累加，取最高项目加分。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4.排名第六及以后的项目为非主要参与人项目。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5.证明材料须提供获奖证书或其他证明材料，复印件与原件保持一致。</w:t>
      </w:r>
    </w:p>
    <w:p>
      <w:pPr>
        <w:spacing w:line="48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（二）学术论文加分细则 </w:t>
      </w:r>
    </w:p>
    <w:tbl>
      <w:tblPr>
        <w:tblStyle w:val="5"/>
        <w:tblW w:w="8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9"/>
        <w:gridCol w:w="4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209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论文级别</w:t>
            </w:r>
          </w:p>
        </w:tc>
        <w:tc>
          <w:tcPr>
            <w:tcW w:w="4211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加分标准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209" w:type="dxa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特刊、一类</w:t>
            </w:r>
          </w:p>
        </w:tc>
        <w:tc>
          <w:tcPr>
            <w:tcW w:w="4211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209" w:type="dxa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二类</w:t>
            </w:r>
          </w:p>
        </w:tc>
        <w:tc>
          <w:tcPr>
            <w:tcW w:w="4211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209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三类</w:t>
            </w:r>
          </w:p>
        </w:tc>
        <w:tc>
          <w:tcPr>
            <w:tcW w:w="4211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209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CN</w:t>
            </w:r>
          </w:p>
        </w:tc>
        <w:tc>
          <w:tcPr>
            <w:tcW w:w="4211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</w:tbl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1.论文级别认定以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科技</w:t>
      </w:r>
      <w:r>
        <w:rPr>
          <w:rFonts w:hint="eastAsia" w:ascii="仿宋" w:hAnsi="仿宋" w:eastAsia="仿宋" w:cs="仿宋"/>
          <w:sz w:val="28"/>
          <w:szCs w:val="28"/>
        </w:rPr>
        <w:t>处最新公布的《华侨大学学术期刊分类目录（理工科）》为准。</w:t>
      </w:r>
      <w:bookmarkStart w:id="0" w:name="_GoBack"/>
      <w:bookmarkEnd w:id="0"/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2.CN号论文加分累计上限为40分。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3.论文须是以华侨大学机电及自动化学院为第一单位，否则该论文不予计算加分，若论文未见刊但有录用通知单的，如指导老师签字确认入学前见刊，则学术论文分数按照0.8倍计分。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4.第一作者或者通讯作者按100%加分，第二作者按75%加分，第三作者按50%加分，第四及以上按30%加分。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5.排名第四及以后的项目为非主要参与人项目。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6.对于已正式发表的论文，证明材料须提供刊物的封面、目录、正文及封底的原件和复印件（英文论文如无封面和目录，可提供检索证明），复印件与原件保持一致。</w:t>
      </w:r>
    </w:p>
    <w:p>
      <w:pPr>
        <w:spacing w:line="480" w:lineRule="exact"/>
        <w:ind w:firstLine="562" w:firstLineChars="200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发明专利加分细则</w:t>
      </w:r>
    </w:p>
    <w:tbl>
      <w:tblPr>
        <w:tblStyle w:val="5"/>
        <w:tblW w:w="8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9"/>
        <w:gridCol w:w="4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209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专利类别</w:t>
            </w:r>
          </w:p>
        </w:tc>
        <w:tc>
          <w:tcPr>
            <w:tcW w:w="4211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加分标准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209" w:type="dxa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授权发明专利</w:t>
            </w:r>
          </w:p>
        </w:tc>
        <w:tc>
          <w:tcPr>
            <w:tcW w:w="4211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209" w:type="dxa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授权实用新型专利</w:t>
            </w:r>
          </w:p>
        </w:tc>
        <w:tc>
          <w:tcPr>
            <w:tcW w:w="4211" w:type="dxa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</w:tr>
    </w:tbl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第一发明人按100%加分，第二发明人按50%加分，第三发明人及以上按30%加分。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排名第三及以后的项目为非主要参与人项目。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3.需取得授予专利权并获得专利证书，提供专利证书的复印件，复印件与原件保持一致。 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B9F141E"/>
    <w:rsid w:val="00032359"/>
    <w:rsid w:val="00060532"/>
    <w:rsid w:val="00083AF0"/>
    <w:rsid w:val="001D5E7A"/>
    <w:rsid w:val="00216072"/>
    <w:rsid w:val="005B7BDC"/>
    <w:rsid w:val="00636E92"/>
    <w:rsid w:val="00676543"/>
    <w:rsid w:val="007C59A0"/>
    <w:rsid w:val="009C138D"/>
    <w:rsid w:val="00D46D12"/>
    <w:rsid w:val="00D81758"/>
    <w:rsid w:val="00EA3535"/>
    <w:rsid w:val="00ED6374"/>
    <w:rsid w:val="00EE5A1C"/>
    <w:rsid w:val="030039D0"/>
    <w:rsid w:val="0B9F141E"/>
    <w:rsid w:val="136C01D9"/>
    <w:rsid w:val="295067C8"/>
    <w:rsid w:val="4D8F7693"/>
    <w:rsid w:val="527A558B"/>
    <w:rsid w:val="6D0164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221</Words>
  <Characters>1266</Characters>
  <Lines>10</Lines>
  <Paragraphs>2</Paragraphs>
  <TotalTime>50</TotalTime>
  <ScaleCrop>false</ScaleCrop>
  <LinksUpToDate>false</LinksUpToDate>
  <CharactersWithSpaces>1485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2019-09-05T09:25:00Z</dcterms:created>
  <dc:creator>Administrator</dc:creator>
  <cp:lastModifiedBy>Administrator</cp:lastModifiedBy>
  <cp:lastPrinted>2019-09-05T12:03:00Z</cp:lastPrinted>
  <dcterms:modified xsi:type="dcterms:W3CDTF">2019-09-09T02:58:17Z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