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DB" w:rsidRDefault="007E3E9E">
      <w:pPr>
        <w:pStyle w:val="Pa2"/>
        <w:jc w:val="center"/>
        <w:rPr>
          <w:rStyle w:val="A12"/>
        </w:rPr>
      </w:pPr>
      <w:r>
        <w:rPr>
          <w:rStyle w:val="A12"/>
          <w:rFonts w:hint="eastAsia"/>
        </w:rPr>
        <w:t>兰州交通大学</w:t>
      </w:r>
      <w:r>
        <w:rPr>
          <w:rStyle w:val="A12"/>
          <w:rFonts w:hint="eastAsia"/>
        </w:rPr>
        <w:t>2018</w:t>
      </w:r>
      <w:r>
        <w:rPr>
          <w:rStyle w:val="A12"/>
          <w:rFonts w:hint="eastAsia"/>
        </w:rPr>
        <w:t>年</w:t>
      </w:r>
      <w:proofErr w:type="spellStart"/>
      <w:r>
        <w:rPr>
          <w:rStyle w:val="A12"/>
          <w:rFonts w:hint="eastAsia"/>
        </w:rPr>
        <w:t>MPAcc</w:t>
      </w:r>
      <w:proofErr w:type="spellEnd"/>
      <w:r>
        <w:rPr>
          <w:rStyle w:val="A12"/>
          <w:rFonts w:hint="eastAsia"/>
        </w:rPr>
        <w:t>招生简章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4"/>
        <w:gridCol w:w="2084"/>
        <w:gridCol w:w="2084"/>
        <w:gridCol w:w="2084"/>
      </w:tblGrid>
      <w:tr w:rsidR="003E4EDB">
        <w:trPr>
          <w:trHeight w:val="936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8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80"/>
                <w:kern w:val="0"/>
                <w:szCs w:val="21"/>
                <w:lang/>
              </w:rPr>
              <w:t>(006)</w:t>
            </w:r>
            <w:r>
              <w:rPr>
                <w:rStyle w:val="font51"/>
                <w:rFonts w:hint="default"/>
                <w:lang/>
              </w:rPr>
              <w:t>经济管理学院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计划参考招生人数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考试科目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复试笔试科目</w:t>
            </w:r>
          </w:p>
        </w:tc>
      </w:tr>
      <w:tr w:rsidR="003E4EDB">
        <w:trPr>
          <w:trHeight w:val="31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left"/>
              <w:rPr>
                <w:rFonts w:ascii="宋体" w:eastAsia="宋体" w:hAnsi="宋体" w:cs="宋体"/>
                <w:b/>
                <w:color w:val="000080"/>
                <w:szCs w:val="21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E4EDB">
        <w:trPr>
          <w:trHeight w:val="83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125300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会计硕士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25-30</w:t>
            </w:r>
            <w:r>
              <w:rPr>
                <w:rStyle w:val="font21"/>
                <w:rFonts w:hint="default"/>
                <w:sz w:val="21"/>
                <w:szCs w:val="21"/>
                <w:lang/>
              </w:rPr>
              <w:t>名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管理类联考综合能力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、《财务会计》和《审计》；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、《财务管理》与《成本管理会计》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</w:p>
        </w:tc>
      </w:tr>
      <w:tr w:rsidR="003E4EDB">
        <w:trPr>
          <w:trHeight w:val="169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00(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（不招收同等学力及非财经类专业考生）</w:t>
            </w:r>
          </w:p>
        </w:tc>
      </w:tr>
      <w:tr w:rsidR="003E4EDB">
        <w:trPr>
          <w:trHeight w:val="9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财务会计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E4EDB">
        <w:trPr>
          <w:trHeight w:val="159"/>
        </w:trPr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财务管理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204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英语二</w:t>
            </w:r>
            <w:bookmarkStart w:id="0" w:name="_GoBack"/>
            <w:bookmarkEnd w:id="0"/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E4EDB">
        <w:trPr>
          <w:trHeight w:val="9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7E3E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项目审计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EDB" w:rsidRDefault="003E4E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3E4EDB" w:rsidRDefault="003E4EDB">
      <w:pPr>
        <w:pStyle w:val="Pa2"/>
        <w:jc w:val="both"/>
        <w:rPr>
          <w:rStyle w:val="A12"/>
        </w:rPr>
      </w:pPr>
    </w:p>
    <w:p w:rsidR="003E4EDB" w:rsidRDefault="007E3E9E">
      <w:pPr>
        <w:pStyle w:val="Pa2"/>
        <w:jc w:val="both"/>
        <w:rPr>
          <w:rStyle w:val="A12"/>
        </w:rPr>
      </w:pPr>
      <w:r>
        <w:rPr>
          <w:rStyle w:val="A12"/>
          <w:rFonts w:hint="eastAsia"/>
        </w:rPr>
        <w:t>学院简介</w:t>
      </w:r>
    </w:p>
    <w:p w:rsidR="003E4EDB" w:rsidRDefault="007E3E9E">
      <w:pPr>
        <w:pStyle w:val="Pa2"/>
        <w:jc w:val="both"/>
        <w:rPr>
          <w:rStyle w:val="A90"/>
          <w:b/>
          <w:bCs/>
          <w:sz w:val="22"/>
          <w:szCs w:val="22"/>
        </w:rPr>
      </w:pPr>
      <w:r>
        <w:rPr>
          <w:rFonts w:hint="eastAsia"/>
        </w:rPr>
        <w:t xml:space="preserve">   </w:t>
      </w:r>
      <w:r>
        <w:rPr>
          <w:rStyle w:val="A90"/>
          <w:color w:val="auto"/>
        </w:rPr>
        <w:t>兰州交通大学经济管理学院</w:t>
      </w:r>
      <w:r>
        <w:rPr>
          <w:rStyle w:val="A90"/>
          <w:rFonts w:hint="eastAsia"/>
          <w:color w:val="auto"/>
        </w:rPr>
        <w:t>成立于</w:t>
      </w:r>
      <w:r>
        <w:rPr>
          <w:rStyle w:val="A90"/>
          <w:rFonts w:hint="eastAsia"/>
          <w:color w:val="auto"/>
        </w:rPr>
        <w:t>1995</w:t>
      </w:r>
      <w:r>
        <w:rPr>
          <w:rStyle w:val="A90"/>
          <w:rFonts w:hint="eastAsia"/>
          <w:color w:val="auto"/>
        </w:rPr>
        <w:t>年。现设有会计学、财务管理、工商管理、市场营销、国际贸易五个本科专业，其中会计学专业于</w:t>
      </w:r>
      <w:r>
        <w:rPr>
          <w:rStyle w:val="A90"/>
          <w:rFonts w:hint="eastAsia"/>
          <w:color w:val="auto"/>
        </w:rPr>
        <w:t>1994</w:t>
      </w:r>
      <w:r>
        <w:rPr>
          <w:rStyle w:val="A90"/>
          <w:rFonts w:hint="eastAsia"/>
          <w:color w:val="auto"/>
        </w:rPr>
        <w:t>年招收本科生。</w:t>
      </w:r>
      <w:r>
        <w:rPr>
          <w:rStyle w:val="A90"/>
          <w:color w:val="auto"/>
        </w:rPr>
        <w:t>2008</w:t>
      </w:r>
      <w:r>
        <w:rPr>
          <w:rStyle w:val="A90"/>
          <w:rFonts w:hint="eastAsia"/>
          <w:color w:val="auto"/>
        </w:rPr>
        <w:t>-2013</w:t>
      </w:r>
      <w:r>
        <w:rPr>
          <w:rStyle w:val="A90"/>
          <w:rFonts w:hint="eastAsia"/>
          <w:color w:val="auto"/>
        </w:rPr>
        <w:t>年</w:t>
      </w:r>
      <w:r>
        <w:rPr>
          <w:rStyle w:val="A90"/>
          <w:rFonts w:hint="eastAsia"/>
          <w:color w:val="auto"/>
        </w:rPr>
        <w:t>,</w:t>
      </w:r>
      <w:r>
        <w:rPr>
          <w:rStyle w:val="A90"/>
          <w:rFonts w:hint="eastAsia"/>
          <w:color w:val="auto"/>
        </w:rPr>
        <w:t>我院《财务管理》、《管理学》、《微观经济学</w:t>
      </w:r>
      <w:proofErr w:type="gramStart"/>
      <w:r>
        <w:rPr>
          <w:rStyle w:val="A90"/>
          <w:rFonts w:hint="eastAsia"/>
          <w:color w:val="auto"/>
        </w:rPr>
        <w:t>》</w:t>
      </w:r>
      <w:proofErr w:type="gramEnd"/>
      <w:r>
        <w:rPr>
          <w:rStyle w:val="A90"/>
          <w:rFonts w:hint="eastAsia"/>
          <w:color w:val="auto"/>
        </w:rPr>
        <w:t>先后被评为甘肃省省级精品课程；</w:t>
      </w:r>
      <w:r>
        <w:rPr>
          <w:rStyle w:val="A90"/>
          <w:rFonts w:hint="eastAsia"/>
          <w:color w:val="auto"/>
        </w:rPr>
        <w:t xml:space="preserve"> 2009</w:t>
      </w:r>
      <w:r>
        <w:rPr>
          <w:rStyle w:val="A90"/>
          <w:rFonts w:hint="eastAsia"/>
          <w:color w:val="auto"/>
        </w:rPr>
        <w:t>年，我院经济管理实验中心被评为“甘肃省</w:t>
      </w:r>
      <w:r>
        <w:rPr>
          <w:rStyle w:val="A90"/>
          <w:color w:val="auto"/>
        </w:rPr>
        <w:t>实验教学示范中心</w:t>
      </w:r>
      <w:r>
        <w:rPr>
          <w:rStyle w:val="A90"/>
          <w:rFonts w:hint="eastAsia"/>
          <w:color w:val="auto"/>
        </w:rPr>
        <w:t>”；</w:t>
      </w:r>
      <w:r>
        <w:rPr>
          <w:rStyle w:val="A90"/>
          <w:rFonts w:hint="eastAsia"/>
          <w:color w:val="auto"/>
        </w:rPr>
        <w:t>2010</w:t>
      </w:r>
      <w:r>
        <w:rPr>
          <w:rStyle w:val="A90"/>
          <w:rFonts w:hint="eastAsia"/>
          <w:color w:val="auto"/>
        </w:rPr>
        <w:t>年，我院“西北交通经济研究中心”</w:t>
      </w:r>
      <w:r>
        <w:rPr>
          <w:rStyle w:val="A90"/>
          <w:rFonts w:hint="eastAsia"/>
          <w:color w:val="auto"/>
        </w:rPr>
        <w:t xml:space="preserve"> </w:t>
      </w:r>
      <w:r>
        <w:rPr>
          <w:rStyle w:val="A90"/>
          <w:rFonts w:hint="eastAsia"/>
          <w:color w:val="auto"/>
        </w:rPr>
        <w:t>首批获批为甘肃省普通高等学校人文社科重点研究基地；</w:t>
      </w:r>
      <w:r>
        <w:rPr>
          <w:rStyle w:val="A90"/>
          <w:rFonts w:hint="eastAsia"/>
          <w:color w:val="auto"/>
        </w:rPr>
        <w:t>2014</w:t>
      </w:r>
      <w:r>
        <w:rPr>
          <w:rStyle w:val="A90"/>
          <w:rFonts w:hint="eastAsia"/>
          <w:color w:val="auto"/>
        </w:rPr>
        <w:t>年“</w:t>
      </w:r>
      <w:r>
        <w:rPr>
          <w:rStyle w:val="A90"/>
          <w:color w:val="auto"/>
        </w:rPr>
        <w:t>工商管理类专业核心课程教学团队</w:t>
      </w:r>
      <w:r>
        <w:rPr>
          <w:rStyle w:val="A90"/>
          <w:rFonts w:hint="eastAsia"/>
          <w:color w:val="auto"/>
        </w:rPr>
        <w:t>”被评为省级教学团队；</w:t>
      </w:r>
      <w:r>
        <w:rPr>
          <w:rStyle w:val="A90"/>
          <w:rFonts w:hint="eastAsia"/>
          <w:color w:val="auto"/>
        </w:rPr>
        <w:t>2016</w:t>
      </w:r>
      <w:r>
        <w:rPr>
          <w:rStyle w:val="A90"/>
          <w:rFonts w:hint="eastAsia"/>
          <w:color w:val="auto"/>
        </w:rPr>
        <w:t>年，我院实验教学中心被评为</w:t>
      </w:r>
      <w:proofErr w:type="gramStart"/>
      <w:r>
        <w:rPr>
          <w:rStyle w:val="A90"/>
          <w:color w:val="auto"/>
        </w:rPr>
        <w:t>”</w:t>
      </w:r>
      <w:proofErr w:type="gramEnd"/>
      <w:r>
        <w:rPr>
          <w:rStyle w:val="A90"/>
          <w:color w:val="auto"/>
        </w:rPr>
        <w:t>甘肃省高等学校电子商务与供应链管理</w:t>
      </w:r>
      <w:r>
        <w:rPr>
          <w:rStyle w:val="A90"/>
          <w:color w:val="auto"/>
        </w:rPr>
        <w:t>重点实验室</w:t>
      </w:r>
      <w:proofErr w:type="gramStart"/>
      <w:r>
        <w:rPr>
          <w:rStyle w:val="A90"/>
          <w:color w:val="auto"/>
        </w:rPr>
        <w:t>”</w:t>
      </w:r>
      <w:proofErr w:type="gramEnd"/>
      <w:r>
        <w:rPr>
          <w:rStyle w:val="A90"/>
          <w:rFonts w:hint="eastAsia"/>
          <w:color w:val="auto"/>
        </w:rPr>
        <w:t>。</w:t>
      </w:r>
    </w:p>
    <w:p w:rsidR="003E4EDB" w:rsidRDefault="007E3E9E">
      <w:pPr>
        <w:pStyle w:val="Pa5"/>
        <w:ind w:leftChars="19" w:left="40" w:firstLineChars="200" w:firstLine="340"/>
        <w:jc w:val="both"/>
        <w:rPr>
          <w:rStyle w:val="A90"/>
          <w:color w:val="auto"/>
        </w:rPr>
      </w:pPr>
      <w:r>
        <w:rPr>
          <w:rStyle w:val="A90"/>
          <w:rFonts w:hint="eastAsia"/>
          <w:color w:val="auto"/>
        </w:rPr>
        <w:t>经国务院学位办批准授权，</w:t>
      </w:r>
      <w:r>
        <w:rPr>
          <w:rStyle w:val="A90"/>
          <w:rFonts w:hint="eastAsia"/>
          <w:color w:val="auto"/>
        </w:rPr>
        <w:t>2003</w:t>
      </w:r>
      <w:r>
        <w:rPr>
          <w:rStyle w:val="A90"/>
          <w:rFonts w:hint="eastAsia"/>
          <w:color w:val="auto"/>
        </w:rPr>
        <w:t>年获得</w:t>
      </w:r>
      <w:r>
        <w:rPr>
          <w:rStyle w:val="A90"/>
          <w:color w:val="auto"/>
        </w:rPr>
        <w:t>产业经济学</w:t>
      </w:r>
      <w:r>
        <w:rPr>
          <w:rStyle w:val="A90"/>
          <w:rFonts w:hint="eastAsia"/>
          <w:color w:val="auto"/>
        </w:rPr>
        <w:t>学术型研究生招生资格；</w:t>
      </w:r>
      <w:r>
        <w:rPr>
          <w:rStyle w:val="A90"/>
          <w:rFonts w:hint="eastAsia"/>
          <w:color w:val="auto"/>
        </w:rPr>
        <w:t>2005</w:t>
      </w:r>
      <w:r>
        <w:rPr>
          <w:rStyle w:val="A90"/>
          <w:rFonts w:hint="eastAsia"/>
          <w:color w:val="auto"/>
        </w:rPr>
        <w:t>年获得</w:t>
      </w:r>
      <w:r>
        <w:rPr>
          <w:rStyle w:val="A90"/>
          <w:color w:val="auto"/>
        </w:rPr>
        <w:t>企业管理</w:t>
      </w:r>
      <w:r>
        <w:rPr>
          <w:rStyle w:val="A90"/>
          <w:rFonts w:hint="eastAsia"/>
          <w:color w:val="auto"/>
        </w:rPr>
        <w:t>学术型研究生招生资格；</w:t>
      </w:r>
      <w:r>
        <w:rPr>
          <w:rStyle w:val="A90"/>
          <w:rFonts w:hint="eastAsia"/>
          <w:color w:val="auto"/>
        </w:rPr>
        <w:t xml:space="preserve"> 2009</w:t>
      </w:r>
      <w:r>
        <w:rPr>
          <w:rStyle w:val="A90"/>
          <w:rFonts w:hint="eastAsia"/>
          <w:color w:val="auto"/>
        </w:rPr>
        <w:t>年获得工商管理硕士专业学位研究生招生资格；</w:t>
      </w:r>
      <w:r>
        <w:rPr>
          <w:rStyle w:val="A90"/>
          <w:rFonts w:hint="eastAsia"/>
          <w:color w:val="auto"/>
        </w:rPr>
        <w:t>2014</w:t>
      </w:r>
      <w:r>
        <w:rPr>
          <w:rStyle w:val="A90"/>
          <w:rFonts w:hint="eastAsia"/>
          <w:color w:val="auto"/>
        </w:rPr>
        <w:t>年获得会计硕士专业学位研究生招生资格。</w:t>
      </w:r>
    </w:p>
    <w:p w:rsidR="003E4EDB" w:rsidRDefault="007E3E9E">
      <w:pPr>
        <w:pStyle w:val="Pa5"/>
        <w:ind w:leftChars="19" w:left="40" w:firstLineChars="200" w:firstLine="340"/>
        <w:jc w:val="both"/>
        <w:rPr>
          <w:rStyle w:val="A90"/>
          <w:color w:val="auto"/>
        </w:rPr>
      </w:pPr>
      <w:r>
        <w:rPr>
          <w:rStyle w:val="A90"/>
          <w:rFonts w:hint="eastAsia"/>
          <w:color w:val="auto"/>
        </w:rPr>
        <w:t>学院坚持“内涵建设”与“外延发展”并重的发展战略，稳定办学规模，优化办学结构，提升办学质量，提高办学效益。通过夯实基础、体现特色、重点突破、全面推进，学院日益成为兰州交通大学最具活力、最具特色、管理水平领先和具有重要贡献的学院。</w:t>
      </w:r>
    </w:p>
    <w:p w:rsidR="003E4EDB" w:rsidRDefault="007E3E9E">
      <w:pPr>
        <w:pStyle w:val="Pa2"/>
        <w:jc w:val="both"/>
        <w:rPr>
          <w:rFonts w:cs="微软雅黑"/>
          <w:color w:val="000000"/>
          <w:sz w:val="22"/>
          <w:szCs w:val="22"/>
        </w:rPr>
      </w:pPr>
      <w:r>
        <w:rPr>
          <w:rStyle w:val="A12"/>
          <w:rFonts w:hint="eastAsia"/>
        </w:rPr>
        <w:t>项目简介</w:t>
      </w:r>
    </w:p>
    <w:p w:rsidR="003E4EDB" w:rsidRDefault="007E3E9E">
      <w:pPr>
        <w:pStyle w:val="Pa5"/>
        <w:ind w:leftChars="19" w:left="40" w:firstLineChars="200" w:firstLine="340"/>
        <w:jc w:val="both"/>
        <w:rPr>
          <w:rStyle w:val="A90"/>
        </w:rPr>
      </w:pPr>
      <w:r>
        <w:rPr>
          <w:rStyle w:val="A90"/>
          <w:rFonts w:hint="eastAsia"/>
          <w:color w:val="auto"/>
        </w:rPr>
        <w:t>兰州交通大学会计硕士专业学位（</w:t>
      </w:r>
      <w:r>
        <w:rPr>
          <w:rStyle w:val="A90"/>
          <w:rFonts w:hint="eastAsia"/>
          <w:color w:val="auto"/>
        </w:rPr>
        <w:t xml:space="preserve">Master of Professional </w:t>
      </w:r>
      <w:r>
        <w:rPr>
          <w:rStyle w:val="A90"/>
          <w:color w:val="auto"/>
        </w:rPr>
        <w:t>Accounting</w:t>
      </w:r>
      <w:r>
        <w:rPr>
          <w:rStyle w:val="A90"/>
          <w:rFonts w:hint="eastAsia"/>
          <w:color w:val="auto"/>
        </w:rPr>
        <w:t>，简称</w:t>
      </w:r>
      <w:proofErr w:type="spellStart"/>
      <w:r>
        <w:rPr>
          <w:rStyle w:val="A90"/>
          <w:rFonts w:hint="eastAsia"/>
          <w:color w:val="auto"/>
        </w:rPr>
        <w:t>MPAcc</w:t>
      </w:r>
      <w:proofErr w:type="spellEnd"/>
      <w:r>
        <w:rPr>
          <w:rStyle w:val="A90"/>
          <w:rFonts w:hint="eastAsia"/>
          <w:color w:val="auto"/>
        </w:rPr>
        <w:t>）项目，依托经济管理学院的优势资源和平台，结合社会经济发展对高层次、应用型、复合型会计人才需求，基于“专注培养让管理创造价值的卓越会计师”的目标定位，构建以“理念升级、职业养成、行动学习、知识整合、价值创造”为纲的培养模式，通过推进模块化、信息化、案例化教学，将专业知识与行业背景紧密相连，促进行业知识与会计学科的融合，为社会培养能应对复杂商业环境，且具有国际视野又深谙本土化运作的、符合行业国际化发</w:t>
      </w:r>
      <w:r>
        <w:rPr>
          <w:rStyle w:val="A90"/>
          <w:rFonts w:hint="eastAsia"/>
          <w:color w:val="auto"/>
        </w:rPr>
        <w:t>展要求的高层次</w:t>
      </w:r>
      <w:r w:rsidR="0088788B">
        <w:rPr>
          <w:rStyle w:val="A90"/>
          <w:rFonts w:hint="eastAsia"/>
          <w:color w:val="auto"/>
        </w:rPr>
        <w:t>管理</w:t>
      </w:r>
      <w:r>
        <w:rPr>
          <w:rStyle w:val="A90"/>
          <w:rFonts w:hint="eastAsia"/>
          <w:color w:val="auto"/>
        </w:rPr>
        <w:t>型会计人才。</w:t>
      </w:r>
    </w:p>
    <w:p w:rsidR="003E4EDB" w:rsidRDefault="007E3E9E">
      <w:pPr>
        <w:pStyle w:val="Pa5"/>
        <w:ind w:left="40"/>
        <w:jc w:val="both"/>
        <w:rPr>
          <w:rFonts w:cs="微软雅黑"/>
          <w:color w:val="000000"/>
          <w:sz w:val="22"/>
          <w:szCs w:val="22"/>
        </w:rPr>
      </w:pPr>
      <w:r>
        <w:rPr>
          <w:rStyle w:val="A12"/>
          <w:rFonts w:hint="eastAsia"/>
        </w:rPr>
        <w:t>学位特点</w:t>
      </w:r>
    </w:p>
    <w:p w:rsidR="003E4EDB" w:rsidRDefault="007E3E9E">
      <w:pPr>
        <w:pStyle w:val="Pa5"/>
        <w:ind w:leftChars="19" w:left="40" w:firstLineChars="200" w:firstLine="340"/>
        <w:jc w:val="both"/>
        <w:rPr>
          <w:rFonts w:cs="微软雅黑"/>
          <w:color w:val="000000"/>
          <w:sz w:val="17"/>
          <w:szCs w:val="17"/>
        </w:rPr>
      </w:pPr>
      <w:r>
        <w:rPr>
          <w:rStyle w:val="A90"/>
          <w:rFonts w:hint="eastAsia"/>
        </w:rPr>
        <w:t>会计硕士（</w:t>
      </w:r>
      <w:proofErr w:type="spellStart"/>
      <w:r>
        <w:rPr>
          <w:rStyle w:val="A90"/>
        </w:rPr>
        <w:t>MPAcc</w:t>
      </w:r>
      <w:proofErr w:type="spellEnd"/>
      <w:r>
        <w:rPr>
          <w:rStyle w:val="A90"/>
          <w:rFonts w:hint="eastAsia"/>
        </w:rPr>
        <w:t>）专业学位与会计学学术性学位（普硕、同等学力进修班）是规格不同的学位类型，各有侧重，其培养目标、招生办法、教育内容、培养模式、质量标准等更突出职业要求，注重学术性与职业性的紧密结合。</w:t>
      </w:r>
      <w:r>
        <w:rPr>
          <w:rStyle w:val="A90"/>
        </w:rPr>
        <w:t xml:space="preserve"> </w:t>
      </w:r>
    </w:p>
    <w:p w:rsidR="003E4EDB" w:rsidRDefault="007E3E9E">
      <w:pPr>
        <w:pStyle w:val="Pa2"/>
        <w:jc w:val="both"/>
        <w:rPr>
          <w:rFonts w:cs="微软雅黑"/>
          <w:color w:val="000000"/>
          <w:sz w:val="22"/>
          <w:szCs w:val="22"/>
        </w:rPr>
      </w:pPr>
      <w:r>
        <w:rPr>
          <w:rStyle w:val="A12"/>
          <w:rFonts w:hint="eastAsia"/>
        </w:rPr>
        <w:t>培养目标</w:t>
      </w:r>
    </w:p>
    <w:p w:rsidR="003E4EDB" w:rsidRDefault="007E3E9E">
      <w:pPr>
        <w:pStyle w:val="Pa5"/>
        <w:ind w:leftChars="19" w:left="40" w:firstLineChars="200" w:firstLine="340"/>
        <w:jc w:val="both"/>
        <w:rPr>
          <w:rStyle w:val="A90"/>
        </w:rPr>
      </w:pPr>
      <w:r>
        <w:rPr>
          <w:rStyle w:val="A90"/>
          <w:rFonts w:hint="eastAsia"/>
        </w:rPr>
        <w:lastRenderedPageBreak/>
        <w:t>以国家财经法规和</w:t>
      </w:r>
      <w:proofErr w:type="spellStart"/>
      <w:r>
        <w:rPr>
          <w:rStyle w:val="A90"/>
          <w:rFonts w:hint="eastAsia"/>
        </w:rPr>
        <w:t>MPAcc</w:t>
      </w:r>
      <w:proofErr w:type="spellEnd"/>
      <w:r>
        <w:rPr>
          <w:rStyle w:val="A90"/>
          <w:rFonts w:hint="eastAsia"/>
        </w:rPr>
        <w:t>教育发展规律为指导，立足理论与实务相结合，强化案例教学和实践教学；面向西北地区，立足交通行业，以“课程精品化、方向特色化、人才专业化”为导向，强调“区域性”和“行业性”；培养具备良好的职业道德和法纪观念，具有国际视野和战略意识、熟悉国际会计准则、系统掌握现代会计学、审计学、公司理财以及金融领域知识和技能，面向会计职业，具有较强解决实际问题能力的应用型高层次会计专门人才。</w:t>
      </w:r>
    </w:p>
    <w:p w:rsidR="003E4EDB" w:rsidRDefault="007E3E9E">
      <w:pPr>
        <w:pStyle w:val="Pa2"/>
        <w:jc w:val="both"/>
        <w:rPr>
          <w:rStyle w:val="A12"/>
        </w:rPr>
      </w:pPr>
      <w:r>
        <w:rPr>
          <w:rStyle w:val="A12"/>
          <w:rFonts w:hint="eastAsia"/>
        </w:rPr>
        <w:t>方向设置</w:t>
      </w:r>
    </w:p>
    <w:p w:rsidR="003E4EDB" w:rsidRDefault="007E3E9E">
      <w:pPr>
        <w:ind w:firstLineChars="50" w:firstLine="85"/>
        <w:rPr>
          <w:rStyle w:val="A90"/>
          <w:rFonts w:ascii="微软雅黑" w:eastAsia="微软雅黑"/>
          <w:kern w:val="0"/>
        </w:rPr>
      </w:pPr>
      <w:r>
        <w:rPr>
          <w:rStyle w:val="A90"/>
          <w:rFonts w:ascii="微软雅黑" w:eastAsia="微软雅黑" w:hint="eastAsia"/>
          <w:kern w:val="0"/>
        </w:rPr>
        <w:t>财务会计</w:t>
      </w:r>
      <w:r>
        <w:rPr>
          <w:rStyle w:val="A90"/>
          <w:rFonts w:ascii="微软雅黑" w:eastAsia="微软雅黑" w:hint="eastAsia"/>
          <w:kern w:val="0"/>
        </w:rPr>
        <w:t xml:space="preserve">  </w:t>
      </w:r>
      <w:r>
        <w:rPr>
          <w:rStyle w:val="A90"/>
          <w:rFonts w:ascii="微软雅黑" w:eastAsia="微软雅黑" w:hint="eastAsia"/>
          <w:kern w:val="0"/>
        </w:rPr>
        <w:t>财务管理</w:t>
      </w:r>
      <w:r>
        <w:rPr>
          <w:rStyle w:val="A90"/>
          <w:rFonts w:ascii="微软雅黑" w:eastAsia="微软雅黑" w:hint="eastAsia"/>
          <w:kern w:val="0"/>
        </w:rPr>
        <w:t xml:space="preserve">  </w:t>
      </w:r>
      <w:r>
        <w:rPr>
          <w:rStyle w:val="A90"/>
          <w:rFonts w:ascii="微软雅黑" w:eastAsia="微软雅黑" w:hint="eastAsia"/>
          <w:kern w:val="0"/>
        </w:rPr>
        <w:t>项目审计</w:t>
      </w:r>
    </w:p>
    <w:p w:rsidR="003E4EDB" w:rsidRDefault="007E3E9E">
      <w:pPr>
        <w:pStyle w:val="Pa2"/>
        <w:jc w:val="both"/>
        <w:rPr>
          <w:rStyle w:val="A12"/>
        </w:rPr>
      </w:pPr>
      <w:r>
        <w:rPr>
          <w:rStyle w:val="A12"/>
          <w:rFonts w:hint="eastAsia"/>
        </w:rPr>
        <w:t>培养特色</w:t>
      </w:r>
    </w:p>
    <w:p w:rsidR="003E4EDB" w:rsidRDefault="007E3E9E">
      <w:pPr>
        <w:pStyle w:val="Pa5"/>
        <w:ind w:leftChars="19" w:left="40" w:firstLineChars="200" w:firstLine="340"/>
        <w:jc w:val="both"/>
        <w:rPr>
          <w:rFonts w:cs="微软雅黑"/>
          <w:color w:val="000000"/>
          <w:sz w:val="17"/>
          <w:szCs w:val="17"/>
        </w:rPr>
      </w:pPr>
      <w:r>
        <w:rPr>
          <w:rStyle w:val="A90"/>
          <w:rFonts w:hint="eastAsia"/>
        </w:rPr>
        <w:t>兰州交通大学</w:t>
      </w:r>
      <w:proofErr w:type="spellStart"/>
      <w:r>
        <w:rPr>
          <w:rStyle w:val="A90"/>
          <w:rFonts w:hint="eastAsia"/>
        </w:rPr>
        <w:t>MPAcc</w:t>
      </w:r>
      <w:proofErr w:type="spellEnd"/>
      <w:r>
        <w:rPr>
          <w:rStyle w:val="A90"/>
          <w:rFonts w:hint="eastAsia"/>
        </w:rPr>
        <w:t>培养是通过实施开放的模块教学以及企业</w:t>
      </w:r>
      <w:r>
        <w:rPr>
          <w:rStyle w:val="A90"/>
          <w:rFonts w:hint="eastAsia"/>
        </w:rPr>
        <w:t>、行业专家的深度参与，强化行业知识与会计学科相结合，将专业知识与行业背景紧密相连，不同类型的课程内容通过案例讨论、移动课堂等形式系统整合在一起，让学生在案例、实践中加强实务能力，最终使</w:t>
      </w:r>
      <w:proofErr w:type="spellStart"/>
      <w:r>
        <w:rPr>
          <w:rStyle w:val="A90"/>
        </w:rPr>
        <w:t>MPAcc</w:t>
      </w:r>
      <w:proofErr w:type="spellEnd"/>
      <w:r>
        <w:rPr>
          <w:rStyle w:val="A90"/>
          <w:rFonts w:hint="eastAsia"/>
        </w:rPr>
        <w:t>学生在三年的系统学习中显著提升个人整体能力。</w:t>
      </w:r>
    </w:p>
    <w:p w:rsidR="003E4EDB" w:rsidRDefault="007E3E9E">
      <w:pPr>
        <w:pStyle w:val="Pa2"/>
        <w:jc w:val="both"/>
        <w:rPr>
          <w:rStyle w:val="A12"/>
        </w:rPr>
      </w:pPr>
      <w:r>
        <w:rPr>
          <w:rStyle w:val="A12"/>
          <w:rFonts w:hint="eastAsia"/>
        </w:rPr>
        <w:t>培养模式</w:t>
      </w:r>
    </w:p>
    <w:p w:rsidR="003E4EDB" w:rsidRDefault="007E3E9E">
      <w:r>
        <w:rPr>
          <w:noProof/>
        </w:rPr>
        <w:drawing>
          <wp:inline distT="0" distB="0" distL="0" distR="0">
            <wp:extent cx="5274310" cy="311721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DB" w:rsidRDefault="007E3E9E">
      <w:pPr>
        <w:pStyle w:val="Pa2"/>
        <w:jc w:val="both"/>
        <w:rPr>
          <w:rStyle w:val="A12"/>
        </w:rPr>
      </w:pPr>
      <w:r>
        <w:rPr>
          <w:rStyle w:val="A12"/>
          <w:rFonts w:hint="eastAsia"/>
        </w:rPr>
        <w:t>课程设置</w:t>
      </w:r>
    </w:p>
    <w:p w:rsidR="003E4EDB" w:rsidRDefault="007E3E9E">
      <w:r>
        <w:rPr>
          <w:rStyle w:val="A12"/>
          <w:rFonts w:hint="eastAsia"/>
        </w:rPr>
        <w:t>核心课程</w:t>
      </w:r>
    </w:p>
    <w:tbl>
      <w:tblPr>
        <w:tblStyle w:val="a9"/>
        <w:tblW w:w="8522" w:type="dxa"/>
        <w:tblLayout w:type="fixed"/>
        <w:tblLook w:val="04A0"/>
      </w:tblPr>
      <w:tblGrid>
        <w:gridCol w:w="4261"/>
        <w:gridCol w:w="4261"/>
      </w:tblGrid>
      <w:tr w:rsidR="003E4EDB">
        <w:tc>
          <w:tcPr>
            <w:tcW w:w="8522" w:type="dxa"/>
            <w:gridSpan w:val="2"/>
          </w:tcPr>
          <w:p w:rsidR="003E4EDB" w:rsidRDefault="007E3E9E">
            <w:pPr>
              <w:jc w:val="center"/>
              <w:rPr>
                <w:rStyle w:val="A12"/>
              </w:rPr>
            </w:pPr>
            <w:r>
              <w:rPr>
                <w:rStyle w:val="A12"/>
                <w:rFonts w:hint="eastAsia"/>
              </w:rPr>
              <w:t>核心课程（不少于</w:t>
            </w:r>
            <w:r>
              <w:rPr>
                <w:rStyle w:val="A12"/>
                <w:rFonts w:hint="eastAsia"/>
              </w:rPr>
              <w:t>20</w:t>
            </w:r>
            <w:r>
              <w:rPr>
                <w:rStyle w:val="A12"/>
                <w:rFonts w:hint="eastAsia"/>
              </w:rPr>
              <w:t>学分）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bCs/>
                <w:kern w:val="0"/>
              </w:rPr>
            </w:pPr>
            <w:r>
              <w:rPr>
                <w:rStyle w:val="A90"/>
                <w:rFonts w:ascii="微软雅黑" w:eastAsia="微软雅黑" w:hint="eastAsia"/>
                <w:bCs/>
                <w:kern w:val="0"/>
              </w:rPr>
              <w:t>财务会计理论与实务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bCs/>
                <w:kern w:val="0"/>
              </w:rPr>
            </w:pPr>
            <w:r>
              <w:rPr>
                <w:rStyle w:val="A90"/>
                <w:rFonts w:ascii="微软雅黑" w:eastAsia="微软雅黑" w:hint="eastAsia"/>
                <w:bCs/>
                <w:kern w:val="0"/>
              </w:rPr>
              <w:t>财务管理理论与实务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bCs/>
                <w:kern w:val="0"/>
              </w:rPr>
            </w:pPr>
            <w:r>
              <w:rPr>
                <w:rStyle w:val="A90"/>
                <w:rFonts w:ascii="微软雅黑" w:eastAsia="微软雅黑" w:hint="eastAsia"/>
                <w:bCs/>
                <w:kern w:val="0"/>
              </w:rPr>
              <w:t>管理会计理论与实务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bCs/>
                <w:kern w:val="0"/>
              </w:rPr>
            </w:pPr>
            <w:r>
              <w:rPr>
                <w:rStyle w:val="A90"/>
                <w:rFonts w:ascii="微软雅黑" w:eastAsia="微软雅黑" w:hint="eastAsia"/>
                <w:bCs/>
                <w:kern w:val="0"/>
              </w:rPr>
              <w:t>审计理论与实务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bCs/>
                <w:kern w:val="0"/>
              </w:rPr>
            </w:pPr>
            <w:r>
              <w:rPr>
                <w:rStyle w:val="A90"/>
                <w:rFonts w:ascii="微软雅黑" w:eastAsia="微软雅黑" w:hint="eastAsia"/>
                <w:bCs/>
                <w:kern w:val="0"/>
              </w:rPr>
              <w:t>英语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bCs/>
                <w:kern w:val="0"/>
              </w:rPr>
            </w:pPr>
            <w:r>
              <w:rPr>
                <w:rStyle w:val="A90"/>
                <w:rFonts w:ascii="微软雅黑" w:eastAsia="微软雅黑" w:hint="eastAsia"/>
                <w:bCs/>
                <w:kern w:val="0"/>
              </w:rPr>
              <w:t>管理经济学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bCs/>
                <w:kern w:val="0"/>
              </w:rPr>
            </w:pPr>
            <w:r>
              <w:rPr>
                <w:rStyle w:val="A90"/>
                <w:rFonts w:ascii="微软雅黑" w:eastAsia="微软雅黑" w:hint="eastAsia"/>
                <w:bCs/>
                <w:kern w:val="0"/>
              </w:rPr>
              <w:t>中国社会主义理论与实践</w:t>
            </w:r>
          </w:p>
        </w:tc>
        <w:tc>
          <w:tcPr>
            <w:tcW w:w="4261" w:type="dxa"/>
          </w:tcPr>
          <w:p w:rsidR="003E4EDB" w:rsidRDefault="003E4EDB">
            <w:pPr>
              <w:rPr>
                <w:rStyle w:val="A90"/>
                <w:rFonts w:ascii="微软雅黑" w:eastAsia="微软雅黑"/>
                <w:bCs/>
                <w:kern w:val="0"/>
              </w:rPr>
            </w:pPr>
          </w:p>
        </w:tc>
      </w:tr>
    </w:tbl>
    <w:p w:rsidR="003E4EDB" w:rsidRDefault="003E4EDB"/>
    <w:p w:rsidR="003E4EDB" w:rsidRDefault="007E3E9E">
      <w:pPr>
        <w:autoSpaceDE w:val="0"/>
        <w:autoSpaceDN w:val="0"/>
        <w:adjustRightInd w:val="0"/>
        <w:jc w:val="left"/>
        <w:rPr>
          <w:rStyle w:val="A90"/>
          <w:sz w:val="24"/>
          <w:szCs w:val="24"/>
        </w:rPr>
      </w:pPr>
      <w:r>
        <w:rPr>
          <w:rStyle w:val="A12"/>
          <w:rFonts w:hint="eastAsia"/>
        </w:rPr>
        <w:t>方向课程</w:t>
      </w:r>
    </w:p>
    <w:tbl>
      <w:tblPr>
        <w:tblStyle w:val="a9"/>
        <w:tblW w:w="8522" w:type="dxa"/>
        <w:tblLayout w:type="fixed"/>
        <w:tblLook w:val="04A0"/>
      </w:tblPr>
      <w:tblGrid>
        <w:gridCol w:w="4261"/>
        <w:gridCol w:w="4261"/>
      </w:tblGrid>
      <w:tr w:rsidR="003E4EDB">
        <w:tc>
          <w:tcPr>
            <w:tcW w:w="8522" w:type="dxa"/>
            <w:gridSpan w:val="2"/>
          </w:tcPr>
          <w:p w:rsidR="003E4EDB" w:rsidRDefault="007E3E9E">
            <w:pPr>
              <w:jc w:val="center"/>
              <w:rPr>
                <w:rStyle w:val="A12"/>
              </w:rPr>
            </w:pPr>
            <w:r>
              <w:rPr>
                <w:rStyle w:val="A12"/>
                <w:rFonts w:hint="eastAsia"/>
              </w:rPr>
              <w:t>方向课程（不少于</w:t>
            </w:r>
            <w:r>
              <w:rPr>
                <w:rStyle w:val="A12"/>
                <w:rFonts w:hint="eastAsia"/>
              </w:rPr>
              <w:t>20</w:t>
            </w:r>
            <w:r>
              <w:rPr>
                <w:rStyle w:val="A12"/>
                <w:rFonts w:hint="eastAsia"/>
              </w:rPr>
              <w:t>学分）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会计信息系统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企业税收筹划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企业兼并与重组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金融市场与金融工具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lastRenderedPageBreak/>
              <w:t>高级财务管理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财务报表分析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政府与非盈利性组织会计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专业外语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项目管理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成本管理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工程经济评价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管理统计学</w:t>
            </w:r>
          </w:p>
        </w:tc>
      </w:tr>
      <w:tr w:rsidR="003E4EDB"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bCs/>
                <w:kern w:val="0"/>
              </w:rPr>
            </w:pPr>
            <w:r>
              <w:rPr>
                <w:rStyle w:val="A90"/>
                <w:rFonts w:ascii="微软雅黑" w:eastAsia="微软雅黑" w:hint="eastAsia"/>
                <w:bCs/>
                <w:kern w:val="0"/>
              </w:rPr>
              <w:t>交通运输经济活动分析</w:t>
            </w:r>
          </w:p>
        </w:tc>
        <w:tc>
          <w:tcPr>
            <w:tcW w:w="4261" w:type="dxa"/>
          </w:tcPr>
          <w:p w:rsidR="003E4EDB" w:rsidRDefault="007E3E9E">
            <w:pPr>
              <w:rPr>
                <w:rStyle w:val="A90"/>
                <w:rFonts w:ascii="微软雅黑" w:eastAsia="微软雅黑"/>
                <w:bCs/>
                <w:kern w:val="0"/>
              </w:rPr>
            </w:pPr>
            <w:r>
              <w:rPr>
                <w:rStyle w:val="A90"/>
                <w:rFonts w:ascii="微软雅黑" w:eastAsia="微软雅黑" w:hint="eastAsia"/>
                <w:bCs/>
                <w:kern w:val="0"/>
              </w:rPr>
              <w:t>铁路运输企业会计</w:t>
            </w:r>
          </w:p>
        </w:tc>
      </w:tr>
    </w:tbl>
    <w:p w:rsidR="003E4EDB" w:rsidRDefault="003E4EDB">
      <w:pPr>
        <w:rPr>
          <w:rStyle w:val="A12"/>
        </w:rPr>
      </w:pPr>
    </w:p>
    <w:p w:rsidR="003E4EDB" w:rsidRDefault="003E4EDB">
      <w:pPr>
        <w:rPr>
          <w:rStyle w:val="A12"/>
        </w:rPr>
      </w:pPr>
    </w:p>
    <w:p w:rsidR="003E4EDB" w:rsidRDefault="007E3E9E">
      <w:pPr>
        <w:pStyle w:val="Pa2"/>
        <w:jc w:val="both"/>
        <w:rPr>
          <w:rStyle w:val="A12"/>
        </w:rPr>
      </w:pPr>
      <w:proofErr w:type="spellStart"/>
      <w:r>
        <w:rPr>
          <w:rStyle w:val="A12"/>
          <w:rFonts w:hint="eastAsia"/>
        </w:rPr>
        <w:t>MPAcc</w:t>
      </w:r>
      <w:proofErr w:type="spellEnd"/>
      <w:r>
        <w:rPr>
          <w:rStyle w:val="A12"/>
          <w:rFonts w:hint="eastAsia"/>
        </w:rPr>
        <w:t>项目招生培养情况一览表</w:t>
      </w:r>
    </w:p>
    <w:tbl>
      <w:tblPr>
        <w:tblStyle w:val="a9"/>
        <w:tblW w:w="8522" w:type="dxa"/>
        <w:tblLayout w:type="fixed"/>
        <w:tblLook w:val="04A0"/>
      </w:tblPr>
      <w:tblGrid>
        <w:gridCol w:w="1384"/>
        <w:gridCol w:w="7138"/>
      </w:tblGrid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项目种类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会计硕士专业学位（</w:t>
            </w:r>
            <w:proofErr w:type="spellStart"/>
            <w:r>
              <w:rPr>
                <w:rStyle w:val="A90"/>
                <w:rFonts w:ascii="微软雅黑" w:eastAsia="微软雅黑" w:hint="eastAsia"/>
                <w:kern w:val="0"/>
              </w:rPr>
              <w:t>MPAcc</w:t>
            </w:r>
            <w:proofErr w:type="spellEnd"/>
            <w:r>
              <w:rPr>
                <w:rStyle w:val="A90"/>
                <w:rFonts w:ascii="微软雅黑" w:eastAsia="微软雅黑" w:hint="eastAsia"/>
                <w:kern w:val="0"/>
              </w:rPr>
              <w:t>）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学制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全日制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授予证书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学员在规定年限内完成相关的课程，成绩合格，修满规定学分（</w:t>
            </w:r>
            <w:r>
              <w:rPr>
                <w:rStyle w:val="A90"/>
                <w:rFonts w:ascii="微软雅黑" w:eastAsia="微软雅黑" w:hint="eastAsia"/>
                <w:kern w:val="0"/>
              </w:rPr>
              <w:t>40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学分以上），完成硕士论文并通过论文答辩，经学校审核批准后授予：硕士研究生毕业证书、会计硕士（</w:t>
            </w:r>
            <w:proofErr w:type="spellStart"/>
            <w:r>
              <w:rPr>
                <w:rStyle w:val="A90"/>
                <w:rFonts w:ascii="微软雅黑" w:eastAsia="微软雅黑" w:hint="eastAsia"/>
                <w:kern w:val="0"/>
              </w:rPr>
              <w:t>MPAcc</w:t>
            </w:r>
            <w:proofErr w:type="spellEnd"/>
            <w:r>
              <w:rPr>
                <w:rStyle w:val="A90"/>
                <w:rFonts w:ascii="微软雅黑" w:eastAsia="微软雅黑" w:hint="eastAsia"/>
                <w:kern w:val="0"/>
              </w:rPr>
              <w:t>）学位证书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报考资格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符合国家关于</w:t>
            </w:r>
            <w:proofErr w:type="spellStart"/>
            <w:r>
              <w:rPr>
                <w:rStyle w:val="A90"/>
                <w:rFonts w:ascii="微软雅黑" w:eastAsia="微软雅黑" w:hint="eastAsia"/>
                <w:kern w:val="0"/>
              </w:rPr>
              <w:t>MPAcc</w:t>
            </w:r>
            <w:proofErr w:type="spellEnd"/>
            <w:r>
              <w:rPr>
                <w:rStyle w:val="A90"/>
                <w:rFonts w:ascii="微软雅黑" w:eastAsia="微软雅黑" w:hint="eastAsia"/>
                <w:kern w:val="0"/>
              </w:rPr>
              <w:t>报考基本条件与要求；不招收同等学力及非财经类专业的考生。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报考时间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spacing w:line="340" w:lineRule="exact"/>
              <w:rPr>
                <w:szCs w:val="21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201</w:t>
            </w:r>
            <w:r>
              <w:rPr>
                <w:rStyle w:val="A90"/>
                <w:rFonts w:ascii="微软雅黑" w:eastAsia="微软雅黑" w:hint="eastAsia"/>
                <w:kern w:val="0"/>
              </w:rPr>
              <w:t>7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年</w:t>
            </w:r>
            <w:r>
              <w:rPr>
                <w:rStyle w:val="A90"/>
                <w:rFonts w:ascii="微软雅黑" w:eastAsia="微软雅黑" w:hint="eastAsia"/>
                <w:kern w:val="0"/>
              </w:rPr>
              <w:t>10</w:t>
            </w:r>
            <w:r>
              <w:rPr>
                <w:rStyle w:val="A90"/>
                <w:rFonts w:ascii="微软雅黑" w:eastAsia="微软雅黑" w:hint="eastAsia"/>
                <w:kern w:val="0"/>
              </w:rPr>
              <w:t>月网上报（登录</w:t>
            </w:r>
            <w:r w:rsidR="003E4EDB" w:rsidRPr="003E4EDB">
              <w:rPr>
                <w:rFonts w:hint="eastAsia"/>
              </w:rPr>
              <w:fldChar w:fldCharType="begin"/>
            </w:r>
            <w:r>
              <w:instrText xml:space="preserve"> HYPERLINK "http://yz.chsi.com.cn" </w:instrText>
            </w:r>
            <w:r w:rsidR="003E4EDB" w:rsidRPr="003E4EDB">
              <w:rPr>
                <w:rFonts w:hint="eastAsia"/>
              </w:rPr>
              <w:fldChar w:fldCharType="separate"/>
            </w:r>
            <w:r>
              <w:rPr>
                <w:rStyle w:val="a8"/>
                <w:rFonts w:hint="eastAsia"/>
                <w:szCs w:val="21"/>
              </w:rPr>
              <w:t>http://yz.chsi.com.cn</w:t>
            </w:r>
            <w:r w:rsidR="003E4EDB">
              <w:rPr>
                <w:rStyle w:val="a8"/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或</w:t>
            </w:r>
            <w:r w:rsidR="003E4EDB" w:rsidRPr="003E4EDB">
              <w:rPr>
                <w:rFonts w:hint="eastAsia"/>
              </w:rPr>
              <w:fldChar w:fldCharType="begin"/>
            </w:r>
            <w:r>
              <w:instrText xml:space="preserve"> HYPERLINK "http://yz.chsi.cn" </w:instrText>
            </w:r>
            <w:r w:rsidR="003E4EDB" w:rsidRPr="003E4EDB">
              <w:rPr>
                <w:rFonts w:hint="eastAsia"/>
              </w:rPr>
              <w:fldChar w:fldCharType="separate"/>
            </w:r>
            <w:r>
              <w:rPr>
                <w:rStyle w:val="a8"/>
                <w:rFonts w:hint="eastAsia"/>
                <w:szCs w:val="21"/>
              </w:rPr>
              <w:t>http://yz.chsi.cn</w:t>
            </w:r>
            <w:r w:rsidR="003E4EDB">
              <w:rPr>
                <w:rStyle w:val="a8"/>
                <w:rFonts w:hint="eastAsia"/>
                <w:szCs w:val="21"/>
              </w:rPr>
              <w:fldChar w:fldCharType="end"/>
            </w:r>
            <w:r>
              <w:rPr>
                <w:rStyle w:val="A90"/>
                <w:rFonts w:ascii="微软雅黑" w:eastAsia="微软雅黑" w:hint="eastAsia"/>
                <w:kern w:val="0"/>
              </w:rPr>
              <w:t>）</w:t>
            </w:r>
          </w:p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，</w:t>
            </w:r>
            <w:r>
              <w:rPr>
                <w:rStyle w:val="A90"/>
                <w:rFonts w:ascii="微软雅黑" w:eastAsia="微软雅黑" w:hint="eastAsia"/>
                <w:kern w:val="0"/>
              </w:rPr>
              <w:t>11</w:t>
            </w:r>
            <w:r>
              <w:rPr>
                <w:rStyle w:val="A90"/>
                <w:rFonts w:ascii="微软雅黑" w:eastAsia="微软雅黑" w:hint="eastAsia"/>
                <w:kern w:val="0"/>
              </w:rPr>
              <w:t>月现场确认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初试时间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201</w:t>
            </w:r>
            <w:r>
              <w:rPr>
                <w:rStyle w:val="A90"/>
                <w:rFonts w:ascii="微软雅黑" w:eastAsia="微软雅黑" w:hint="eastAsia"/>
                <w:kern w:val="0"/>
              </w:rPr>
              <w:t>7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年</w:t>
            </w:r>
            <w:r>
              <w:rPr>
                <w:rStyle w:val="A90"/>
                <w:rFonts w:ascii="微软雅黑" w:eastAsia="微软雅黑" w:hint="eastAsia"/>
                <w:kern w:val="0"/>
              </w:rPr>
              <w:t>12</w:t>
            </w:r>
            <w:r>
              <w:rPr>
                <w:rStyle w:val="A90"/>
                <w:rFonts w:ascii="微软雅黑" w:eastAsia="微软雅黑" w:hint="eastAsia"/>
                <w:kern w:val="0"/>
              </w:rPr>
              <w:t>月（具体时间以教育部文件规定为准）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初试科目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综合（数学</w:t>
            </w:r>
            <w:r>
              <w:rPr>
                <w:rStyle w:val="A90"/>
                <w:rFonts w:ascii="微软雅黑" w:eastAsia="微软雅黑" w:hint="eastAsia"/>
                <w:kern w:val="0"/>
              </w:rPr>
              <w:t>75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分、逻辑</w:t>
            </w:r>
            <w:r>
              <w:rPr>
                <w:rStyle w:val="A90"/>
                <w:rFonts w:ascii="微软雅黑" w:eastAsia="微软雅黑" w:hint="eastAsia"/>
                <w:kern w:val="0"/>
              </w:rPr>
              <w:t>60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分、语文写作</w:t>
            </w:r>
            <w:r>
              <w:rPr>
                <w:rStyle w:val="A90"/>
                <w:rFonts w:ascii="微软雅黑" w:eastAsia="微软雅黑" w:hint="eastAsia"/>
                <w:kern w:val="0"/>
              </w:rPr>
              <w:t>65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分）、英语（</w:t>
            </w:r>
            <w:r>
              <w:rPr>
                <w:rStyle w:val="A90"/>
                <w:rFonts w:ascii="微软雅黑" w:eastAsia="微软雅黑" w:hint="eastAsia"/>
                <w:kern w:val="0"/>
              </w:rPr>
              <w:t>100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分）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初试复习书目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高等教育出版社《全国硕士研究生统一考试管理类专业学位联考考试大纲》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复试资格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  <w:color w:val="auto"/>
                <w:kern w:val="0"/>
              </w:rPr>
            </w:pPr>
            <w:r>
              <w:rPr>
                <w:rStyle w:val="A90"/>
                <w:rFonts w:ascii="微软雅黑" w:eastAsia="微软雅黑" w:hint="eastAsia"/>
                <w:color w:val="auto"/>
                <w:kern w:val="0"/>
              </w:rPr>
              <w:t>单独划线（不低于国家</w:t>
            </w:r>
            <w:r>
              <w:rPr>
                <w:rStyle w:val="A90"/>
                <w:rFonts w:ascii="微软雅黑" w:eastAsia="微软雅黑" w:hint="eastAsia"/>
                <w:color w:val="auto"/>
                <w:kern w:val="0"/>
              </w:rPr>
              <w:t>B</w:t>
            </w:r>
            <w:r>
              <w:rPr>
                <w:rStyle w:val="A90"/>
                <w:rFonts w:ascii="微软雅黑" w:eastAsia="微软雅黑" w:hint="eastAsia"/>
                <w:color w:val="auto"/>
                <w:kern w:val="0"/>
              </w:rPr>
              <w:t>线）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复试时间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201</w:t>
            </w:r>
            <w:r>
              <w:rPr>
                <w:rStyle w:val="A90"/>
                <w:rFonts w:ascii="微软雅黑" w:eastAsia="微软雅黑" w:hint="eastAsia"/>
                <w:kern w:val="0"/>
              </w:rPr>
              <w:t>8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年</w:t>
            </w:r>
            <w:r>
              <w:rPr>
                <w:rStyle w:val="A90"/>
                <w:rFonts w:ascii="微软雅黑" w:eastAsia="微软雅黑" w:hint="eastAsia"/>
                <w:kern w:val="0"/>
              </w:rPr>
              <w:t>3</w:t>
            </w:r>
            <w:r>
              <w:rPr>
                <w:rStyle w:val="A90"/>
                <w:rFonts w:ascii="微软雅黑" w:eastAsia="微软雅黑" w:hint="eastAsia"/>
                <w:kern w:val="0"/>
              </w:rPr>
              <w:t>月（具体时间以学校通知为准）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复试形式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rPr>
                <w:rStyle w:val="A90"/>
                <w:rFonts w:ascii="微软雅黑" w:eastAsia="微软雅黑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笔试（专业综合知识：财务会计、成本管理会计、财务管理、审计</w:t>
            </w:r>
            <w:r>
              <w:rPr>
                <w:rStyle w:val="A90"/>
                <w:rFonts w:ascii="微软雅黑" w:eastAsia="微软雅黑" w:hint="eastAsia"/>
                <w:kern w:val="0"/>
              </w:rPr>
              <w:t>;</w:t>
            </w:r>
            <w:r>
              <w:rPr>
                <w:rStyle w:val="A90"/>
                <w:rFonts w:ascii="微软雅黑" w:eastAsia="微软雅黑" w:hint="eastAsia"/>
                <w:kern w:val="0"/>
              </w:rPr>
              <w:t>英语听力</w:t>
            </w:r>
            <w:r>
              <w:rPr>
                <w:rStyle w:val="A90"/>
                <w:rFonts w:ascii="微软雅黑" w:eastAsia="微软雅黑" w:hint="eastAsia"/>
                <w:kern w:val="0"/>
              </w:rPr>
              <w:t>;</w:t>
            </w:r>
            <w:r>
              <w:rPr>
                <w:rStyle w:val="A90"/>
                <w:rFonts w:ascii="微软雅黑" w:eastAsia="微软雅黑" w:hint="eastAsia"/>
                <w:kern w:val="0"/>
              </w:rPr>
              <w:t>政治理论；考试大纲及参考书目</w:t>
            </w:r>
            <w:proofErr w:type="gramStart"/>
            <w:r>
              <w:rPr>
                <w:rStyle w:val="A90"/>
                <w:rFonts w:ascii="微软雅黑" w:eastAsia="微软雅黑" w:hint="eastAsia"/>
                <w:kern w:val="0"/>
              </w:rPr>
              <w:t>请访问</w:t>
            </w:r>
            <w:proofErr w:type="gramEnd"/>
            <w:r>
              <w:rPr>
                <w:rStyle w:val="A90"/>
                <w:rFonts w:ascii="微软雅黑" w:eastAsia="微软雅黑" w:hint="eastAsia"/>
                <w:kern w:val="0"/>
              </w:rPr>
              <w:t>兰州交通大学经经济管理学院网站</w:t>
            </w:r>
            <w:r>
              <w:rPr>
                <w:rStyle w:val="A90"/>
                <w:rFonts w:ascii="微软雅黑" w:eastAsia="微软雅黑" w:hint="eastAsia"/>
                <w:kern w:val="0"/>
              </w:rPr>
              <w:t xml:space="preserve"> </w:t>
            </w:r>
            <w:r>
              <w:rPr>
                <w:rStyle w:val="A90"/>
                <w:rFonts w:ascii="微软雅黑" w:eastAsia="微软雅黑" w:hint="eastAsia"/>
                <w:kern w:val="0"/>
              </w:rPr>
              <w:t>）、综合能力面试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学习年限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autoSpaceDE w:val="0"/>
              <w:autoSpaceDN w:val="0"/>
              <w:adjustRightInd w:val="0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3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年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培养费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autoSpaceDE w:val="0"/>
              <w:autoSpaceDN w:val="0"/>
              <w:adjustRightInd w:val="0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8000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元</w:t>
            </w:r>
            <w:r>
              <w:rPr>
                <w:rStyle w:val="A90"/>
                <w:rFonts w:ascii="微软雅黑" w:eastAsia="微软雅黑" w:hint="eastAsia"/>
                <w:kern w:val="0"/>
              </w:rPr>
              <w:t>/</w:t>
            </w:r>
            <w:r>
              <w:rPr>
                <w:rStyle w:val="A90"/>
                <w:rFonts w:ascii="微软雅黑" w:eastAsia="微软雅黑" w:hint="eastAsia"/>
                <w:kern w:val="0"/>
              </w:rPr>
              <w:t>年（享受国家相关奖助标准）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交费方式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autoSpaceDE w:val="0"/>
              <w:autoSpaceDN w:val="0"/>
              <w:adjustRightInd w:val="0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按学年交费</w:t>
            </w:r>
          </w:p>
        </w:tc>
      </w:tr>
      <w:tr w:rsidR="003E4EDB">
        <w:tc>
          <w:tcPr>
            <w:tcW w:w="1384" w:type="dxa"/>
            <w:vAlign w:val="center"/>
          </w:tcPr>
          <w:p w:rsidR="003E4EDB" w:rsidRDefault="007E3E9E">
            <w:pPr>
              <w:jc w:val="center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招生人数</w:t>
            </w:r>
          </w:p>
        </w:tc>
        <w:tc>
          <w:tcPr>
            <w:tcW w:w="7138" w:type="dxa"/>
            <w:vAlign w:val="center"/>
          </w:tcPr>
          <w:p w:rsidR="003E4EDB" w:rsidRDefault="007E3E9E">
            <w:pPr>
              <w:autoSpaceDE w:val="0"/>
              <w:autoSpaceDN w:val="0"/>
              <w:adjustRightInd w:val="0"/>
              <w:rPr>
                <w:rStyle w:val="A90"/>
                <w:rFonts w:ascii="微软雅黑" w:eastAsia="微软雅黑"/>
                <w:kern w:val="0"/>
              </w:rPr>
            </w:pPr>
            <w:r>
              <w:rPr>
                <w:rStyle w:val="A90"/>
                <w:rFonts w:ascii="微软雅黑" w:eastAsia="微软雅黑" w:hint="eastAsia"/>
                <w:kern w:val="0"/>
              </w:rPr>
              <w:t>25-30</w:t>
            </w:r>
          </w:p>
        </w:tc>
      </w:tr>
    </w:tbl>
    <w:p w:rsidR="003E4EDB" w:rsidRDefault="003E4EDB">
      <w:pPr>
        <w:rPr>
          <w:rStyle w:val="A12"/>
        </w:rPr>
      </w:pPr>
    </w:p>
    <w:p w:rsidR="003E4EDB" w:rsidRDefault="007E3E9E">
      <w:pPr>
        <w:pStyle w:val="Pa2"/>
        <w:jc w:val="both"/>
        <w:rPr>
          <w:rStyle w:val="A12"/>
        </w:rPr>
      </w:pPr>
      <w:r>
        <w:rPr>
          <w:rStyle w:val="A12"/>
          <w:rFonts w:hint="eastAsia"/>
        </w:rPr>
        <w:t>致考生的一封信</w:t>
      </w:r>
    </w:p>
    <w:p w:rsidR="003E4EDB" w:rsidRDefault="007E3E9E">
      <w:pPr>
        <w:rPr>
          <w:rStyle w:val="A90"/>
          <w:rFonts w:ascii="微软雅黑" w:eastAsia="微软雅黑"/>
        </w:rPr>
      </w:pPr>
      <w:r>
        <w:rPr>
          <w:rStyle w:val="A90"/>
          <w:rFonts w:ascii="微软雅黑" w:eastAsia="微软雅黑" w:hint="eastAsia"/>
        </w:rPr>
        <w:t>亲爱的考生：</w:t>
      </w:r>
    </w:p>
    <w:p w:rsidR="003E4EDB" w:rsidRDefault="007E3E9E">
      <w:pPr>
        <w:ind w:firstLineChars="200" w:firstLine="340"/>
        <w:rPr>
          <w:rStyle w:val="A90"/>
          <w:rFonts w:ascii="微软雅黑" w:eastAsia="微软雅黑"/>
        </w:rPr>
      </w:pPr>
      <w:r>
        <w:rPr>
          <w:rStyle w:val="A90"/>
          <w:rFonts w:ascii="微软雅黑" w:eastAsia="微软雅黑" w:hint="eastAsia"/>
        </w:rPr>
        <w:t>孟夏之际，生机盎然，总是意味新的选择、机遇，和由此带来的思考，欢迎报考兰州交通大学</w:t>
      </w:r>
      <w:proofErr w:type="spellStart"/>
      <w:r>
        <w:rPr>
          <w:rStyle w:val="A90"/>
          <w:rFonts w:ascii="微软雅黑" w:eastAsia="微软雅黑" w:hint="eastAsia"/>
        </w:rPr>
        <w:t>MPAcc</w:t>
      </w:r>
      <w:proofErr w:type="spellEnd"/>
      <w:r>
        <w:rPr>
          <w:rStyle w:val="A90"/>
          <w:rFonts w:ascii="微软雅黑" w:eastAsia="微软雅黑" w:hint="eastAsia"/>
        </w:rPr>
        <w:t>项目。</w:t>
      </w:r>
    </w:p>
    <w:p w:rsidR="003E4EDB" w:rsidRDefault="007E3E9E">
      <w:pPr>
        <w:ind w:firstLineChars="200" w:firstLine="340"/>
        <w:rPr>
          <w:rStyle w:val="A90"/>
          <w:rFonts w:ascii="微软雅黑" w:eastAsia="微软雅黑"/>
        </w:rPr>
      </w:pPr>
      <w:r>
        <w:rPr>
          <w:rStyle w:val="A90"/>
          <w:rFonts w:ascii="微软雅黑" w:eastAsia="微软雅黑" w:hint="eastAsia"/>
        </w:rPr>
        <w:t>兰州交通大学这个在西部及交通运输行业享有极高声誉的优质品牌，有</w:t>
      </w:r>
      <w:proofErr w:type="gramStart"/>
      <w:r>
        <w:rPr>
          <w:rStyle w:val="A90"/>
          <w:rFonts w:ascii="微软雅黑" w:eastAsia="微软雅黑" w:hint="eastAsia"/>
        </w:rPr>
        <w:t>莘莘</w:t>
      </w:r>
      <w:proofErr w:type="gramEnd"/>
      <w:r>
        <w:rPr>
          <w:rStyle w:val="A90"/>
          <w:rFonts w:ascii="微软雅黑" w:eastAsia="微软雅黑" w:hint="eastAsia"/>
        </w:rPr>
        <w:t>校园，前沿学术，也有一流的教学条件和</w:t>
      </w:r>
      <w:proofErr w:type="gramStart"/>
      <w:r>
        <w:rPr>
          <w:rStyle w:val="A90"/>
          <w:rFonts w:ascii="微软雅黑" w:eastAsia="微软雅黑" w:hint="eastAsia"/>
        </w:rPr>
        <w:t>校友情</w:t>
      </w:r>
      <w:proofErr w:type="gramEnd"/>
      <w:r>
        <w:rPr>
          <w:rStyle w:val="A90"/>
          <w:rFonts w:ascii="微软雅黑" w:eastAsia="微软雅黑" w:hint="eastAsia"/>
        </w:rPr>
        <w:t>深的人际资源。</w:t>
      </w:r>
    </w:p>
    <w:p w:rsidR="003E4EDB" w:rsidRDefault="007E3E9E">
      <w:pPr>
        <w:ind w:firstLineChars="200" w:firstLine="340"/>
        <w:rPr>
          <w:rStyle w:val="A90"/>
          <w:rFonts w:ascii="微软雅黑" w:eastAsia="微软雅黑"/>
        </w:rPr>
      </w:pPr>
      <w:r>
        <w:rPr>
          <w:rStyle w:val="A90"/>
          <w:rFonts w:ascii="微软雅黑" w:eastAsia="微软雅黑" w:hint="eastAsia"/>
        </w:rPr>
        <w:t>兰州交通大学</w:t>
      </w:r>
      <w:proofErr w:type="spellStart"/>
      <w:r>
        <w:rPr>
          <w:rStyle w:val="A90"/>
          <w:rFonts w:ascii="微软雅黑" w:eastAsia="微软雅黑" w:hint="eastAsia"/>
        </w:rPr>
        <w:t>MPAcc</w:t>
      </w:r>
      <w:proofErr w:type="spellEnd"/>
      <w:r>
        <w:rPr>
          <w:rStyle w:val="A90"/>
          <w:rFonts w:ascii="微软雅黑" w:eastAsia="微软雅黑" w:hint="eastAsia"/>
        </w:rPr>
        <w:t>的大门是向每一位勤奋进取又有才华的学子敞开的，您的加入将为兰交大带来新的生机与活力；而交大</w:t>
      </w:r>
      <w:proofErr w:type="spellStart"/>
      <w:r>
        <w:rPr>
          <w:rStyle w:val="A90"/>
          <w:rFonts w:ascii="微软雅黑" w:eastAsia="微软雅黑" w:hint="eastAsia"/>
        </w:rPr>
        <w:t>MPAcc</w:t>
      </w:r>
      <w:proofErr w:type="spellEnd"/>
      <w:r>
        <w:rPr>
          <w:rStyle w:val="A90"/>
          <w:rFonts w:ascii="微软雅黑" w:eastAsia="微软雅黑" w:hint="eastAsia"/>
        </w:rPr>
        <w:t>也将为您获取专业知识、分享实务技能、提高职业素养提供有品质的平台，助你成为一名让管理创造价值的业界精英。</w:t>
      </w:r>
    </w:p>
    <w:p w:rsidR="003E4EDB" w:rsidRDefault="007E3E9E">
      <w:pPr>
        <w:ind w:firstLineChars="200" w:firstLine="340"/>
        <w:rPr>
          <w:rStyle w:val="A90"/>
          <w:rFonts w:ascii="微软雅黑" w:eastAsia="微软雅黑"/>
        </w:rPr>
      </w:pPr>
      <w:r>
        <w:rPr>
          <w:rStyle w:val="A90"/>
          <w:rFonts w:ascii="微软雅黑" w:eastAsia="微软雅黑" w:hint="eastAsia"/>
        </w:rPr>
        <w:t>最后，请接受我们对您诚挚的祝福！愿您在考试中发挥优异水平，顺</w:t>
      </w:r>
      <w:r>
        <w:rPr>
          <w:rStyle w:val="A90"/>
          <w:rFonts w:ascii="微软雅黑" w:eastAsia="微软雅黑" w:hint="eastAsia"/>
        </w:rPr>
        <w:t>利加入交大</w:t>
      </w:r>
      <w:proofErr w:type="spellStart"/>
      <w:r>
        <w:rPr>
          <w:rStyle w:val="A90"/>
          <w:rFonts w:ascii="微软雅黑" w:eastAsia="微软雅黑" w:hint="eastAsia"/>
        </w:rPr>
        <w:t>MPAcc</w:t>
      </w:r>
      <w:proofErr w:type="spellEnd"/>
      <w:r>
        <w:rPr>
          <w:rStyle w:val="A90"/>
          <w:rFonts w:ascii="微软雅黑" w:eastAsia="微软雅黑" w:hint="eastAsia"/>
        </w:rPr>
        <w:t>大家庭，实现自己的求学梦想，展开人生新的追求。</w:t>
      </w:r>
    </w:p>
    <w:p w:rsidR="003E4EDB" w:rsidRDefault="007E3E9E">
      <w:pPr>
        <w:rPr>
          <w:rStyle w:val="A90"/>
          <w:rFonts w:ascii="微软雅黑" w:eastAsia="微软雅黑"/>
        </w:rPr>
      </w:pPr>
      <w:r>
        <w:rPr>
          <w:rStyle w:val="A90"/>
          <w:rFonts w:ascii="微软雅黑" w:eastAsia="微软雅黑" w:hint="eastAsia"/>
        </w:rPr>
        <w:t xml:space="preserve"> </w:t>
      </w:r>
    </w:p>
    <w:p w:rsidR="003E4EDB" w:rsidRDefault="003E4EDB">
      <w:pPr>
        <w:rPr>
          <w:rStyle w:val="A90"/>
          <w:rFonts w:ascii="微软雅黑" w:eastAsia="微软雅黑"/>
        </w:rPr>
      </w:pPr>
    </w:p>
    <w:p w:rsidR="003E4EDB" w:rsidRDefault="007E3E9E">
      <w:pPr>
        <w:rPr>
          <w:rStyle w:val="A90"/>
          <w:rFonts w:ascii="微软雅黑" w:eastAsia="微软雅黑"/>
          <w:kern w:val="0"/>
        </w:rPr>
      </w:pPr>
      <w:r>
        <w:rPr>
          <w:rStyle w:val="A90"/>
          <w:rFonts w:ascii="微软雅黑" w:eastAsia="微软雅黑" w:hint="eastAsia"/>
        </w:rPr>
        <w:t xml:space="preserve">                                                                     </w:t>
      </w:r>
      <w:r>
        <w:rPr>
          <w:rStyle w:val="A90"/>
          <w:rFonts w:ascii="微软雅黑" w:eastAsia="微软雅黑" w:hint="eastAsia"/>
        </w:rPr>
        <w:t>——兰州交通大学</w:t>
      </w:r>
      <w:proofErr w:type="spellStart"/>
      <w:r>
        <w:rPr>
          <w:rStyle w:val="A90"/>
          <w:rFonts w:ascii="微软雅黑" w:eastAsia="微软雅黑" w:hint="eastAsia"/>
        </w:rPr>
        <w:t>MPAcc</w:t>
      </w:r>
      <w:proofErr w:type="spellEnd"/>
      <w:r>
        <w:rPr>
          <w:rStyle w:val="A90"/>
          <w:rFonts w:ascii="微软雅黑" w:eastAsia="微软雅黑" w:hint="eastAsia"/>
        </w:rPr>
        <w:t>项目</w:t>
      </w:r>
    </w:p>
    <w:p w:rsidR="003E4EDB" w:rsidRDefault="003E4EDB"/>
    <w:sectPr w:rsidR="003E4EDB" w:rsidSect="003E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9E" w:rsidRDefault="007E3E9E" w:rsidP="0088788B">
      <w:r>
        <w:separator/>
      </w:r>
    </w:p>
  </w:endnote>
  <w:endnote w:type="continuationSeparator" w:id="0">
    <w:p w:rsidR="007E3E9E" w:rsidRDefault="007E3E9E" w:rsidP="0088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9E" w:rsidRDefault="007E3E9E" w:rsidP="0088788B">
      <w:r>
        <w:separator/>
      </w:r>
    </w:p>
  </w:footnote>
  <w:footnote w:type="continuationSeparator" w:id="0">
    <w:p w:rsidR="007E3E9E" w:rsidRDefault="007E3E9E" w:rsidP="00887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653B"/>
    <w:rsid w:val="00056913"/>
    <w:rsid w:val="000B5D95"/>
    <w:rsid w:val="001B2757"/>
    <w:rsid w:val="00254FD0"/>
    <w:rsid w:val="002A2597"/>
    <w:rsid w:val="002C62D0"/>
    <w:rsid w:val="002E37D6"/>
    <w:rsid w:val="002F57A7"/>
    <w:rsid w:val="0037633A"/>
    <w:rsid w:val="003B3191"/>
    <w:rsid w:val="003E4EDB"/>
    <w:rsid w:val="003F42B0"/>
    <w:rsid w:val="00421B0E"/>
    <w:rsid w:val="004619AD"/>
    <w:rsid w:val="004A6DD0"/>
    <w:rsid w:val="005432C0"/>
    <w:rsid w:val="005D08DB"/>
    <w:rsid w:val="005D5A6E"/>
    <w:rsid w:val="00627D24"/>
    <w:rsid w:val="00632F97"/>
    <w:rsid w:val="00670956"/>
    <w:rsid w:val="00683D05"/>
    <w:rsid w:val="006C251F"/>
    <w:rsid w:val="006E48FE"/>
    <w:rsid w:val="006F031E"/>
    <w:rsid w:val="007B7396"/>
    <w:rsid w:val="007E3E9E"/>
    <w:rsid w:val="007F661B"/>
    <w:rsid w:val="00817616"/>
    <w:rsid w:val="008847FE"/>
    <w:rsid w:val="0088788B"/>
    <w:rsid w:val="00894550"/>
    <w:rsid w:val="008C18B1"/>
    <w:rsid w:val="008D1A47"/>
    <w:rsid w:val="00922FC1"/>
    <w:rsid w:val="009810BC"/>
    <w:rsid w:val="009E3966"/>
    <w:rsid w:val="00A01B53"/>
    <w:rsid w:val="00A026A1"/>
    <w:rsid w:val="00A0594D"/>
    <w:rsid w:val="00A45B17"/>
    <w:rsid w:val="00A4653B"/>
    <w:rsid w:val="00A650E7"/>
    <w:rsid w:val="00A671F7"/>
    <w:rsid w:val="00AB20BB"/>
    <w:rsid w:val="00AD7FEF"/>
    <w:rsid w:val="00B02423"/>
    <w:rsid w:val="00B0479D"/>
    <w:rsid w:val="00B07A04"/>
    <w:rsid w:val="00B16A9E"/>
    <w:rsid w:val="00B41E07"/>
    <w:rsid w:val="00B50C2B"/>
    <w:rsid w:val="00B868CC"/>
    <w:rsid w:val="00BA4533"/>
    <w:rsid w:val="00C36569"/>
    <w:rsid w:val="00C676A9"/>
    <w:rsid w:val="00C80667"/>
    <w:rsid w:val="00CD4ECD"/>
    <w:rsid w:val="00D25EA1"/>
    <w:rsid w:val="00D92AA8"/>
    <w:rsid w:val="00DA0D95"/>
    <w:rsid w:val="00E01A88"/>
    <w:rsid w:val="00E90C61"/>
    <w:rsid w:val="00EA32C1"/>
    <w:rsid w:val="00EB2ADB"/>
    <w:rsid w:val="00EE3F43"/>
    <w:rsid w:val="00F35000"/>
    <w:rsid w:val="00F7247D"/>
    <w:rsid w:val="00FA3B2E"/>
    <w:rsid w:val="00FD05CB"/>
    <w:rsid w:val="0C306B44"/>
    <w:rsid w:val="0D412402"/>
    <w:rsid w:val="6D46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E4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E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4ED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3E4EDB"/>
    <w:rPr>
      <w:b/>
    </w:rPr>
  </w:style>
  <w:style w:type="character" w:styleId="a8">
    <w:name w:val="Hyperlink"/>
    <w:basedOn w:val="a0"/>
    <w:qFormat/>
    <w:rsid w:val="003E4EDB"/>
    <w:rPr>
      <w:color w:val="00008C"/>
      <w:u w:val="none"/>
    </w:rPr>
  </w:style>
  <w:style w:type="table" w:styleId="a9">
    <w:name w:val="Table Grid"/>
    <w:basedOn w:val="a1"/>
    <w:uiPriority w:val="59"/>
    <w:qFormat/>
    <w:rsid w:val="003E4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0">
    <w:name w:val="A9"/>
    <w:uiPriority w:val="99"/>
    <w:rsid w:val="003E4EDB"/>
    <w:rPr>
      <w:rFonts w:cs="微软雅黑"/>
      <w:color w:val="000000"/>
      <w:sz w:val="17"/>
      <w:szCs w:val="17"/>
    </w:rPr>
  </w:style>
  <w:style w:type="paragraph" w:customStyle="1" w:styleId="Pa2">
    <w:name w:val="Pa2"/>
    <w:basedOn w:val="a"/>
    <w:next w:val="a"/>
    <w:uiPriority w:val="99"/>
    <w:rsid w:val="003E4EDB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character" w:customStyle="1" w:styleId="A12">
    <w:name w:val="A12"/>
    <w:uiPriority w:val="99"/>
    <w:qFormat/>
    <w:rsid w:val="003E4EDB"/>
    <w:rPr>
      <w:rFonts w:cs="微软雅黑"/>
      <w:b/>
      <w:bCs/>
      <w:color w:val="000000"/>
      <w:sz w:val="22"/>
      <w:szCs w:val="22"/>
    </w:rPr>
  </w:style>
  <w:style w:type="paragraph" w:customStyle="1" w:styleId="Pa5">
    <w:name w:val="Pa5"/>
    <w:basedOn w:val="a"/>
    <w:next w:val="a"/>
    <w:uiPriority w:val="99"/>
    <w:qFormat/>
    <w:rsid w:val="003E4EDB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4ED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E4ED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E4EDB"/>
    <w:rPr>
      <w:sz w:val="18"/>
      <w:szCs w:val="18"/>
    </w:rPr>
  </w:style>
  <w:style w:type="character" w:customStyle="1" w:styleId="font61">
    <w:name w:val="font61"/>
    <w:basedOn w:val="a0"/>
    <w:rsid w:val="003E4EDB"/>
    <w:rPr>
      <w:rFonts w:ascii="宋体" w:eastAsia="宋体" w:hAnsi="宋体" w:cs="宋体" w:hint="eastAsia"/>
      <w:b/>
      <w:color w:val="000080"/>
      <w:sz w:val="21"/>
      <w:szCs w:val="21"/>
      <w:u w:val="none"/>
    </w:rPr>
  </w:style>
  <w:style w:type="character" w:customStyle="1" w:styleId="font31">
    <w:name w:val="font31"/>
    <w:basedOn w:val="a0"/>
    <w:rsid w:val="003E4EDB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3E4EDB"/>
    <w:rPr>
      <w:rFonts w:ascii="宋体" w:eastAsia="宋体" w:hAnsi="宋体" w:cs="宋体" w:hint="eastAsia"/>
      <w:b/>
      <w:color w:val="000080"/>
      <w:sz w:val="21"/>
      <w:szCs w:val="21"/>
      <w:u w:val="none"/>
    </w:rPr>
  </w:style>
  <w:style w:type="character" w:customStyle="1" w:styleId="font21">
    <w:name w:val="font21"/>
    <w:basedOn w:val="a0"/>
    <w:rsid w:val="003E4EDB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7D7E2E-ED73-4AB3-8FB9-74BBFEF9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2016-10-13T08:27:00Z</dcterms:created>
  <dcterms:modified xsi:type="dcterms:W3CDTF">2018-06-27T05:33:00Z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