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河北工业大学</w:t>
      </w:r>
      <w:r>
        <w:rPr>
          <w:rFonts w:hint="default" w:ascii="Calibri" w:hAnsi="Calibri" w:eastAsia="宋体" w:cs="Calibri"/>
          <w:b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154"/>
        <w:gridCol w:w="1490"/>
        <w:gridCol w:w="1586"/>
        <w:gridCol w:w="1217"/>
        <w:gridCol w:w="1982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院系所代码及名称：017经济管理学院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1" w:right="0" w:hanging="28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联系人及电话：韩老师022-60435165（应用经济学、管理科学与工程、工商管理）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1687" w:firstLineChars="70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李老师022-60204880（金融硕士、工商管理硕士、会计硕士、工程管理硕士）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1" w:right="0" w:hanging="28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办公地点：韩老师：北辰校区西教三204（应用经济学、管理科学与工程、工商管理）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1205" w:firstLineChars="50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李老师：红桥校区北院MBA楼116（金融硕士、工商管理硕士、会计硕士、工程管理硕士）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020200应用经济学（全日制）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01区域经济学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02金融学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03产业经济学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④870微观经济学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F1701宏观经济学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120100管理科学与工程（全日制）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01大数据与智能决策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02物流与供应链管理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03工业工程与工程管理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04企业组织与创新管理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④871运筹学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F1702管理学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120200工商管理（全日制）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01企业管理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02技术经济及管理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03会计学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④872管理学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F1703管理经济学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025100金融（全日制专业学位）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00不区分研究方向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④431金融学综合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F1706投资学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学费2.4万元/年，学制2.5年。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不招收同等学力考生。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125100工商管理（专业学位）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20（全日制）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181（非全日制）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leftChars="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 MBA工商管理硕士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 EMBA高级管理人员工商管理硕士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①报考条件：按国家规定。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②MBA学费3万元/年，学制2年；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EMBA学费7.5万元/年，学制2年。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非全日制硕士生只招收在职定向就业人员。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125300会计（专业学位）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00不区分研究方向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30（全日制）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20（非全日制）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F1704会计综合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（包括财务会计、财务管理、成本与管理会计学、审计）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①学费2.4万元/年，学制2.5年。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③非全日制不招收应届生，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只招收在职定向就业人员。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125603工业工程与管理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（全日制专业学位）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leftChars="0" w:right="0" w:hanging="21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01运营系统工程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02信息管理与信息系统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03物流与供应链管理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04大数据与智能决策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F1705工业工程</w:t>
            </w:r>
          </w:p>
        </w:tc>
        <w:tc>
          <w:tcPr>
            <w:tcW w:w="1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①应届生、往届生均可报考。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②可接收推免生。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学费7000元/年，学制3年。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0F5"/>
    <w:rsid w:val="141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5">
    <w:name w:val="19"/>
    <w:basedOn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6">
    <w:name w:val="18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8">
    <w:name w:val="16"/>
    <w:basedOn w:val="3"/>
    <w:uiPriority w:val="0"/>
    <w:rPr>
      <w:rFonts w:hint="default" w:ascii="Calibri" w:hAnsi="Calibri" w:cs="Calibri"/>
    </w:rPr>
  </w:style>
  <w:style w:type="character" w:customStyle="1" w:styleId="9">
    <w:name w:val="17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0</Words>
  <Characters>1004</Characters>
  <Lines>8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2020-03-09T08:55:00Z</dcterms:created>
  <dc:creator>Administrator</dc:creator>
  <cp:lastModifiedBy>野节</cp:lastModifiedBy>
  <dcterms:modified xsi:type="dcterms:W3CDTF">2020-03-09T08:59:45Z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