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27" w:rsidRPr="00484027" w:rsidRDefault="00484027" w:rsidP="00484027">
      <w:pPr>
        <w:widowControl/>
        <w:spacing w:beforeLines="100" w:before="312"/>
        <w:jc w:val="center"/>
        <w:outlineLvl w:val="2"/>
        <w:rPr>
          <w:b/>
          <w:sz w:val="32"/>
          <w:szCs w:val="28"/>
        </w:rPr>
      </w:pPr>
      <w:bookmarkStart w:id="0" w:name="_Toc458843086"/>
      <w:r w:rsidRPr="00484027">
        <w:rPr>
          <w:rFonts w:hint="eastAsia"/>
          <w:b/>
          <w:sz w:val="32"/>
          <w:szCs w:val="28"/>
        </w:rPr>
        <w:t>全国会计硕士专业学位研究生</w:t>
      </w:r>
      <w:r w:rsidR="00542E2D">
        <w:rPr>
          <w:rFonts w:hint="eastAsia"/>
          <w:b/>
          <w:sz w:val="32"/>
          <w:szCs w:val="28"/>
        </w:rPr>
        <w:t>招生</w:t>
      </w:r>
      <w:r w:rsidRPr="00484027">
        <w:rPr>
          <w:rFonts w:hint="eastAsia"/>
          <w:b/>
          <w:sz w:val="32"/>
          <w:szCs w:val="28"/>
        </w:rPr>
        <w:t>考试</w:t>
      </w:r>
      <w:bookmarkEnd w:id="0"/>
    </w:p>
    <w:p w:rsidR="00484027" w:rsidRPr="00484027" w:rsidRDefault="00484027" w:rsidP="00484027">
      <w:pPr>
        <w:spacing w:afterLines="100" w:after="312"/>
        <w:jc w:val="center"/>
        <w:rPr>
          <w:sz w:val="28"/>
          <w:szCs w:val="28"/>
        </w:rPr>
      </w:pPr>
      <w:bookmarkStart w:id="1" w:name="_Toc458843087"/>
      <w:r w:rsidRPr="00484027">
        <w:rPr>
          <w:rFonts w:hint="eastAsia"/>
          <w:b/>
          <w:sz w:val="32"/>
          <w:szCs w:val="28"/>
        </w:rPr>
        <w:t>复试阶段专业课指导性大纲（</w:t>
      </w:r>
      <w:r w:rsidR="00AE1D98">
        <w:rPr>
          <w:b/>
          <w:sz w:val="32"/>
          <w:szCs w:val="28"/>
        </w:rPr>
        <w:t>2020</w:t>
      </w:r>
      <w:r w:rsidR="00CC7099">
        <w:rPr>
          <w:rFonts w:hint="eastAsia"/>
          <w:b/>
          <w:sz w:val="32"/>
          <w:szCs w:val="28"/>
        </w:rPr>
        <w:t>年</w:t>
      </w:r>
      <w:r w:rsidRPr="00484027">
        <w:rPr>
          <w:rFonts w:hint="eastAsia"/>
          <w:b/>
          <w:sz w:val="32"/>
          <w:szCs w:val="28"/>
        </w:rPr>
        <w:t>）</w:t>
      </w:r>
      <w:bookmarkEnd w:id="1"/>
    </w:p>
    <w:p w:rsidR="000657F3" w:rsidRPr="008C0812" w:rsidRDefault="000657F3" w:rsidP="000657F3">
      <w:pPr>
        <w:ind w:firstLineChars="200" w:firstLine="560"/>
        <w:rPr>
          <w:sz w:val="28"/>
          <w:szCs w:val="28"/>
        </w:rPr>
      </w:pPr>
      <w:r w:rsidRPr="008C0812">
        <w:rPr>
          <w:rFonts w:hint="eastAsia"/>
          <w:sz w:val="28"/>
          <w:szCs w:val="28"/>
        </w:rPr>
        <w:t>为进一步规范会计硕士专业学位研究生录取工作，保证录取学生具备一定的会计专业素质，</w:t>
      </w:r>
      <w:r>
        <w:rPr>
          <w:rFonts w:hint="eastAsia"/>
          <w:sz w:val="28"/>
          <w:szCs w:val="28"/>
        </w:rPr>
        <w:t>特</w:t>
      </w:r>
      <w:r w:rsidRPr="008C0812">
        <w:rPr>
          <w:rFonts w:hint="eastAsia"/>
          <w:sz w:val="28"/>
          <w:szCs w:val="28"/>
        </w:rPr>
        <w:t>制定本指导性大纲，供各招生单位参考。本大纲注重对</w:t>
      </w:r>
      <w:r>
        <w:rPr>
          <w:rFonts w:hint="eastAsia"/>
          <w:sz w:val="28"/>
          <w:szCs w:val="28"/>
        </w:rPr>
        <w:t>考生</w:t>
      </w:r>
      <w:r w:rsidRPr="008C0812">
        <w:rPr>
          <w:rFonts w:hint="eastAsia"/>
          <w:sz w:val="28"/>
          <w:szCs w:val="28"/>
        </w:rPr>
        <w:t>专业基础知识、专业基本要求的考核，一些相对有难度的内容</w:t>
      </w:r>
      <w:r>
        <w:rPr>
          <w:rFonts w:hint="eastAsia"/>
          <w:sz w:val="28"/>
          <w:szCs w:val="28"/>
        </w:rPr>
        <w:t>应</w:t>
      </w:r>
      <w:r w:rsidRPr="008C0812">
        <w:rPr>
          <w:rFonts w:hint="eastAsia"/>
          <w:sz w:val="28"/>
          <w:szCs w:val="28"/>
        </w:rPr>
        <w:t>在学生入学后学习</w:t>
      </w:r>
      <w:r>
        <w:rPr>
          <w:rFonts w:hint="eastAsia"/>
          <w:sz w:val="28"/>
          <w:szCs w:val="28"/>
        </w:rPr>
        <w:t>与</w:t>
      </w:r>
      <w:r w:rsidRPr="008C0812">
        <w:rPr>
          <w:rFonts w:hint="eastAsia"/>
          <w:sz w:val="28"/>
          <w:szCs w:val="28"/>
        </w:rPr>
        <w:t>掌握。本大纲仅供各招生单位在复试阶段专业课</w:t>
      </w:r>
      <w:r>
        <w:rPr>
          <w:rFonts w:hint="eastAsia"/>
          <w:sz w:val="28"/>
          <w:szCs w:val="28"/>
        </w:rPr>
        <w:t>考</w:t>
      </w:r>
      <w:r w:rsidRPr="008C0812">
        <w:rPr>
          <w:rFonts w:hint="eastAsia"/>
          <w:sz w:val="28"/>
          <w:szCs w:val="28"/>
        </w:rPr>
        <w:t>试时参考，各招生单位可根据</w:t>
      </w:r>
      <w:r>
        <w:rPr>
          <w:rFonts w:hint="eastAsia"/>
          <w:sz w:val="28"/>
          <w:szCs w:val="28"/>
        </w:rPr>
        <w:t>自身的战略定位、培养目标、培养方案等</w:t>
      </w:r>
      <w:r w:rsidRPr="008C0812">
        <w:rPr>
          <w:rFonts w:hint="eastAsia"/>
          <w:sz w:val="28"/>
          <w:szCs w:val="28"/>
        </w:rPr>
        <w:t>对大纲的内容有所选择</w:t>
      </w:r>
      <w:r>
        <w:rPr>
          <w:rFonts w:hint="eastAsia"/>
          <w:sz w:val="28"/>
          <w:szCs w:val="28"/>
        </w:rPr>
        <w:t>与</w:t>
      </w:r>
      <w:r w:rsidRPr="008C0812">
        <w:rPr>
          <w:rFonts w:hint="eastAsia"/>
          <w:sz w:val="28"/>
          <w:szCs w:val="28"/>
        </w:rPr>
        <w:t>侧重</w:t>
      </w:r>
      <w:r>
        <w:rPr>
          <w:rFonts w:hint="eastAsia"/>
          <w:sz w:val="28"/>
          <w:szCs w:val="28"/>
        </w:rPr>
        <w:t>（应具备合理依据）</w:t>
      </w:r>
      <w:r w:rsidRPr="008C0812">
        <w:rPr>
          <w:rFonts w:hint="eastAsia"/>
          <w:sz w:val="28"/>
          <w:szCs w:val="28"/>
        </w:rPr>
        <w:t>。</w:t>
      </w:r>
    </w:p>
    <w:p w:rsidR="000657F3" w:rsidRPr="00D82966" w:rsidRDefault="000657F3" w:rsidP="000657F3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color w:val="333333"/>
          <w:kern w:val="0"/>
          <w:sz w:val="22"/>
        </w:rPr>
      </w:pP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第一部分   财务会计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财务会计报告的目标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会计基本假设与会计基础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会计信息质量要求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会计要素及其确认与计量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财务会计报告的组成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金融资产</w:t>
      </w:r>
    </w:p>
    <w:p w:rsidR="000657F3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</w:t>
      </w:r>
      <w:r w:rsidR="00AE1D98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金融资产</w:t>
      </w:r>
      <w:r w:rsidR="00AE1D98">
        <w:rPr>
          <w:rFonts w:ascii="宋体" w:hAnsi="宋体" w:cs="宋体" w:hint="eastAsia"/>
          <w:color w:val="333333"/>
          <w:kern w:val="0"/>
          <w:sz w:val="28"/>
          <w:szCs w:val="28"/>
        </w:rPr>
        <w:t>及其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分类</w:t>
      </w:r>
    </w:p>
    <w:p w:rsidR="00AE1D98" w:rsidRP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应收款项 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交易性金融资产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债权投资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第五节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其他债权投资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第六节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他权益工具投资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第七节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金融资产的重分类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第三章  存货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 </w:t>
      </w:r>
      <w:r w:rsidR="006E11E6" w:rsidRPr="006E11E6">
        <w:rPr>
          <w:rFonts w:ascii="宋体" w:hAnsi="宋体" w:cs="宋体" w:hint="eastAsia"/>
          <w:color w:val="333333"/>
          <w:kern w:val="0"/>
          <w:sz w:val="28"/>
          <w:szCs w:val="28"/>
        </w:rPr>
        <w:t>存货及其初始确认和计量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AE1D98">
        <w:rPr>
          <w:rFonts w:ascii="宋体" w:hAnsi="宋体" w:cs="宋体" w:hint="eastAsia"/>
          <w:color w:val="333333"/>
          <w:kern w:val="0"/>
          <w:sz w:val="28"/>
          <w:szCs w:val="28"/>
        </w:rPr>
        <w:t>存货的取得和发出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 </w:t>
      </w:r>
      <w:r w:rsidR="00AE1D98">
        <w:rPr>
          <w:rFonts w:ascii="宋体" w:hAnsi="宋体" w:cs="宋体" w:hint="eastAsia"/>
          <w:color w:val="333333"/>
          <w:kern w:val="0"/>
          <w:sz w:val="28"/>
          <w:szCs w:val="28"/>
        </w:rPr>
        <w:t>存货的期末计价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第四章  长期股权投资</w:t>
      </w:r>
    </w:p>
    <w:p w:rsidR="00AE1D98" w:rsidRDefault="000657F3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 </w:t>
      </w:r>
      <w:r w:rsidR="00AE1D98"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长期股权投资概述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长期股权投资的取得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长期股权投资核算的成本法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长期股权投资核算的权益法</w:t>
      </w:r>
    </w:p>
    <w:p w:rsidR="00AE1D98" w:rsidRDefault="00AE1D98" w:rsidP="00AE1D98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第五节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长期股权投资的处置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E11E6" w:rsidRDefault="00AE1D98" w:rsidP="006E11E6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第六节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长期股权投资的减值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0657F3" w:rsidRPr="006B6354" w:rsidRDefault="00AE1D98" w:rsidP="006E11E6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第七节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E1D98">
        <w:rPr>
          <w:rFonts w:ascii="宋体" w:hAnsi="宋体" w:cs="宋体" w:hint="eastAsia"/>
          <w:color w:val="333333"/>
          <w:kern w:val="0"/>
          <w:sz w:val="28"/>
          <w:szCs w:val="28"/>
        </w:rPr>
        <w:t>长期股权投资后续计量方法的转换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固定资产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固定资产的确认和初始计量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固定资产的后续</w:t>
      </w:r>
      <w:r w:rsidR="0064686D">
        <w:rPr>
          <w:rFonts w:ascii="宋体" w:hAnsi="宋体" w:cs="宋体" w:hint="eastAsia"/>
          <w:color w:val="333333"/>
          <w:kern w:val="0"/>
          <w:sz w:val="28"/>
          <w:szCs w:val="28"/>
        </w:rPr>
        <w:t>支出</w:t>
      </w:r>
      <w:r w:rsidR="002179E2">
        <w:rPr>
          <w:rFonts w:ascii="宋体" w:hAnsi="宋体" w:cs="宋体" w:hint="eastAsia"/>
          <w:color w:val="333333"/>
          <w:kern w:val="0"/>
          <w:sz w:val="28"/>
          <w:szCs w:val="28"/>
        </w:rPr>
        <w:t>与折旧</w:t>
      </w:r>
    </w:p>
    <w:p w:rsidR="000657F3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固定资产的</w:t>
      </w:r>
      <w:r w:rsidR="0064686D">
        <w:rPr>
          <w:rFonts w:ascii="宋体" w:hAnsi="宋体" w:cs="宋体" w:hint="eastAsia"/>
          <w:color w:val="333333"/>
          <w:kern w:val="0"/>
          <w:sz w:val="28"/>
          <w:szCs w:val="28"/>
        </w:rPr>
        <w:t>清理</w:t>
      </w:r>
    </w:p>
    <w:p w:rsidR="0064686D" w:rsidRPr="006B6354" w:rsidRDefault="0064686D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固定资产的减值和报表列示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第六章  无形资产</w:t>
      </w:r>
      <w:r w:rsidR="0064686D">
        <w:rPr>
          <w:rFonts w:ascii="宋体" w:hAnsi="宋体" w:cs="宋体" w:hint="eastAsia"/>
          <w:color w:val="333333"/>
          <w:kern w:val="0"/>
          <w:sz w:val="28"/>
          <w:szCs w:val="28"/>
        </w:rPr>
        <w:t>与投资性房地产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无形资产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64686D">
        <w:rPr>
          <w:rFonts w:ascii="宋体" w:hAnsi="宋体" w:cs="宋体" w:hint="eastAsia"/>
          <w:color w:val="333333"/>
          <w:kern w:val="0"/>
          <w:sz w:val="28"/>
          <w:szCs w:val="28"/>
        </w:rPr>
        <w:t>投资性房地产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第七章  负债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流动负债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非流动负债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第八章  所有者权益</w:t>
      </w:r>
    </w:p>
    <w:p w:rsidR="0064686D" w:rsidRDefault="000657F3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第一节  </w:t>
      </w:r>
      <w:r w:rsidR="0064686D"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所有者权益概述</w:t>
      </w:r>
      <w:r w:rsidR="0064686D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4686D" w:rsidRDefault="0064686D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实收资本(或股本)与其他权益工具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4686D" w:rsidRDefault="0064686D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资本公积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4686D" w:rsidRDefault="0064686D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其他综合收益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4686D" w:rsidRDefault="0064686D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第五节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库存股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64686D" w:rsidRDefault="0064686D" w:rsidP="0064686D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第六节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64686D">
        <w:rPr>
          <w:rFonts w:ascii="宋体" w:hAnsi="宋体" w:cs="宋体" w:hint="eastAsia"/>
          <w:color w:val="333333"/>
          <w:kern w:val="0"/>
          <w:sz w:val="28"/>
          <w:szCs w:val="28"/>
        </w:rPr>
        <w:t>留存收益</w:t>
      </w:r>
    </w:p>
    <w:p w:rsidR="000657F3" w:rsidRPr="006B6354" w:rsidRDefault="000657F3" w:rsidP="0064686D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第九章  收入、费用和利润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收入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、费用与利润概述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利润总额的形成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 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所得税费用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 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净利润及其分配</w:t>
      </w:r>
    </w:p>
    <w:p w:rsidR="000657F3" w:rsidRPr="006B6354" w:rsidRDefault="000657F3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第十章  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财务报表</w:t>
      </w:r>
    </w:p>
    <w:p w:rsidR="00BA0E6F" w:rsidRDefault="00BA0E6F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财务报表概述 </w:t>
      </w:r>
    </w:p>
    <w:p w:rsidR="00BA0E6F" w:rsidRDefault="00BA0E6F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>资产负债表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BA0E6F" w:rsidRDefault="00BA0E6F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>利润表与综合收益表</w:t>
      </w:r>
    </w:p>
    <w:p w:rsidR="00BA0E6F" w:rsidRDefault="002179E2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第四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节 </w:t>
      </w:r>
      <w:r w:rsidR="00BA0E6F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BA0E6F"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>所有者权益变动表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BA0E6F" w:rsidRDefault="002179E2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第五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节 </w:t>
      </w:r>
      <w:r w:rsidR="00BA0E6F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BA0E6F"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>现金流量表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BA0E6F" w:rsidRDefault="002179E2" w:rsidP="00BA0E6F">
      <w:pPr>
        <w:widowControl/>
        <w:snapToGrid w:val="0"/>
        <w:spacing w:line="360" w:lineRule="auto"/>
        <w:ind w:right="705"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第六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节 </w:t>
      </w:r>
      <w:r w:rsidR="00BA0E6F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BA0E6F" w:rsidRPr="00BA0E6F">
        <w:rPr>
          <w:rFonts w:ascii="宋体" w:hAnsi="宋体" w:cs="宋体" w:hint="eastAsia"/>
          <w:color w:val="333333"/>
          <w:kern w:val="0"/>
          <w:sz w:val="28"/>
          <w:szCs w:val="28"/>
        </w:rPr>
        <w:t>附注</w:t>
      </w:r>
    </w:p>
    <w:p w:rsidR="000657F3" w:rsidRPr="006B6354" w:rsidRDefault="002179E2" w:rsidP="000657F3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</w:t>
      </w:r>
      <w:r w:rsidR="000657F3"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十一章  资产负债表日后事项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资产负债表日后事项概述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调整事项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非调整事项</w:t>
      </w:r>
    </w:p>
    <w:p w:rsidR="000657F3" w:rsidRPr="006B6354" w:rsidRDefault="000657F3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第十三章  会计变更和差错更正</w:t>
      </w:r>
    </w:p>
    <w:p w:rsidR="000657F3" w:rsidRPr="006B6354" w:rsidRDefault="000657F3" w:rsidP="000657F3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会计变更</w:t>
      </w:r>
    </w:p>
    <w:p w:rsidR="00891487" w:rsidRDefault="000657F3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 </w:t>
      </w:r>
      <w:r w:rsidR="00BA0E6F">
        <w:rPr>
          <w:rFonts w:ascii="宋体" w:hAnsi="宋体" w:cs="宋体" w:hint="eastAsia"/>
          <w:color w:val="333333"/>
          <w:kern w:val="0"/>
          <w:sz w:val="28"/>
          <w:szCs w:val="28"/>
        </w:rPr>
        <w:t>会计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差错更正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bookmarkStart w:id="2" w:name="_GoBack"/>
      <w:bookmarkEnd w:id="2"/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>第二部分  成本与管理会计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管理会计与财务会计的区别与联系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成本的概念和分类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产品成本核算方法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产品成本计算概述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成本的归集与分配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产品成本计算的品种法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产品成本计算的分批法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产品成本计算的分步法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第六节  作业成本法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第三章  成本分析与成本管理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成本性态分析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变动成本法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成本管理方法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第四章  经营决策分析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经营决策分析的基本方法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本量利分析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经营决策中的成本概念运用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经营决策中的生产组织与外包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经营决策中的产能利用与存货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全面预算管理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全面预算概述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全面预算的类型与编制方法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营业预算的编制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第四节  财务预算的编制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第五节  预算实施与管理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第六章  </w:t>
      </w:r>
      <w:r w:rsidR="002179E2">
        <w:rPr>
          <w:rFonts w:ascii="宋体" w:hAnsi="宋体" w:cs="宋体" w:hint="eastAsia"/>
          <w:color w:val="333333"/>
          <w:kern w:val="0"/>
          <w:sz w:val="28"/>
          <w:szCs w:val="28"/>
        </w:rPr>
        <w:t>业绩考核与评价</w:t>
      </w:r>
    </w:p>
    <w:p w:rsidR="002179E2" w:rsidRDefault="00D15209" w:rsidP="002179E2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 </w:t>
      </w:r>
      <w:r w:rsidR="002179E2" w:rsidRPr="002179E2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以企业为主体的业绩考评 </w:t>
      </w:r>
    </w:p>
    <w:p w:rsidR="002179E2" w:rsidRDefault="002179E2" w:rsidP="002179E2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2179E2">
        <w:rPr>
          <w:rFonts w:ascii="宋体" w:hAnsi="宋体" w:cs="宋体" w:hint="eastAsia"/>
          <w:color w:val="333333"/>
          <w:kern w:val="0"/>
          <w:sz w:val="28"/>
          <w:szCs w:val="28"/>
        </w:rPr>
        <w:t>以责任中心为主体的业绩考评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2179E2" w:rsidRDefault="002179E2" w:rsidP="002179E2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2179E2">
        <w:rPr>
          <w:rFonts w:ascii="宋体" w:hAnsi="宋体" w:cs="宋体" w:hint="eastAsia"/>
          <w:color w:val="333333"/>
          <w:kern w:val="0"/>
          <w:sz w:val="28"/>
          <w:szCs w:val="28"/>
        </w:rPr>
        <w:t>基于经济增加值的业绩考评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D15209" w:rsidRPr="006B6354" w:rsidRDefault="002179E2" w:rsidP="002179E2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2179E2">
        <w:rPr>
          <w:rFonts w:ascii="宋体" w:hAnsi="宋体" w:cs="宋体" w:hint="eastAsia"/>
          <w:color w:val="333333"/>
          <w:kern w:val="0"/>
          <w:sz w:val="28"/>
          <w:szCs w:val="28"/>
        </w:rPr>
        <w:t>基于战略的业绩考评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15209" w:rsidRPr="006B6354" w:rsidRDefault="00D15209" w:rsidP="00D15209"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/>
          <w:b/>
          <w:color w:val="333333"/>
          <w:kern w:val="0"/>
          <w:sz w:val="28"/>
          <w:szCs w:val="28"/>
        </w:rPr>
        <w:br w:type="page"/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>第三部分  财务管理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第一章  总论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财务管理的概念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财务管理的目标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 </w:t>
      </w:r>
      <w:r w:rsidR="00400FBF">
        <w:rPr>
          <w:rFonts w:ascii="宋体" w:hAnsi="宋体" w:cs="宋体" w:hint="eastAsia"/>
          <w:color w:val="333333"/>
          <w:kern w:val="0"/>
          <w:sz w:val="28"/>
          <w:szCs w:val="28"/>
        </w:rPr>
        <w:t>企业价值的实现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第二章  财务估值的基础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货币时间价值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风险和收益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kern w:val="0"/>
          <w:sz w:val="28"/>
          <w:szCs w:val="28"/>
        </w:rPr>
      </w:pPr>
      <w:r w:rsidRPr="006B6354">
        <w:rPr>
          <w:rFonts w:ascii="宋体" w:hAnsi="宋体" w:cs="宋体" w:hint="eastAsia"/>
          <w:kern w:val="0"/>
          <w:sz w:val="28"/>
          <w:szCs w:val="28"/>
        </w:rPr>
        <w:t>第三节  证券</w:t>
      </w:r>
      <w:r w:rsidR="00400FBF">
        <w:rPr>
          <w:rFonts w:ascii="宋体" w:hAnsi="宋体" w:cs="宋体" w:hint="eastAsia"/>
          <w:kern w:val="0"/>
          <w:sz w:val="28"/>
          <w:szCs w:val="28"/>
        </w:rPr>
        <w:t>股价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6B6354">
        <w:rPr>
          <w:rFonts w:ascii="宋体" w:hAnsi="宋体" w:cs="宋体" w:hint="eastAsia"/>
          <w:kern w:val="0"/>
          <w:sz w:val="28"/>
          <w:szCs w:val="28"/>
        </w:rPr>
        <w:t>第三章  财务分析</w:t>
      </w:r>
    </w:p>
    <w:p w:rsidR="00D15209" w:rsidRPr="00CA141A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第一节  偿债能力分析</w:t>
      </w:r>
    </w:p>
    <w:p w:rsidR="00D15209" w:rsidRPr="00CA141A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第二节  营运能力分析</w:t>
      </w:r>
    </w:p>
    <w:p w:rsidR="00D15209" w:rsidRPr="00CA141A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第三节  获利能力分析</w:t>
      </w:r>
    </w:p>
    <w:p w:rsidR="00D15209" w:rsidRPr="00CA141A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第四节  发展能力分析</w:t>
      </w:r>
    </w:p>
    <w:p w:rsidR="00D15209" w:rsidRPr="00CA141A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A141A">
        <w:rPr>
          <w:rFonts w:ascii="宋体" w:hAnsi="宋体" w:cs="宋体" w:hint="eastAsia"/>
          <w:color w:val="333333"/>
          <w:kern w:val="0"/>
          <w:sz w:val="28"/>
          <w:szCs w:val="28"/>
        </w:rPr>
        <w:t>第五节  综合财务分析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第四章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长期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筹资决策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资本成本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资本结构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普通股筹资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第四节  长期负债筹资</w:t>
      </w:r>
    </w:p>
    <w:p w:rsidR="00D15209" w:rsidRPr="006B6354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第五章  投资决策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第一节  投资的概念</w:t>
      </w:r>
    </w:p>
    <w:p w:rsidR="00D15209" w:rsidRPr="006B6354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第二节  投资的现金流量分析</w:t>
      </w:r>
    </w:p>
    <w:p w:rsidR="00D15209" w:rsidRDefault="00D15209" w:rsidP="00D15209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第三节  投资决策评价指标及其计算</w:t>
      </w:r>
    </w:p>
    <w:p w:rsidR="00D15209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第六章  营运资金管理</w:t>
      </w:r>
    </w:p>
    <w:p w:rsidR="00D13A2B" w:rsidRDefault="00D15209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第一节  </w:t>
      </w:r>
      <w:r w:rsidR="00D13A2B"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营运资金管理概述 </w:t>
      </w:r>
    </w:p>
    <w:p w:rsidR="00D13A2B" w:rsidRDefault="00D13A2B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>流动资产管理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D13A2B" w:rsidRDefault="00D13A2B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>流动负债管理</w:t>
      </w:r>
    </w:p>
    <w:p w:rsidR="00D15209" w:rsidRPr="006B6354" w:rsidRDefault="00D15209" w:rsidP="00D13A2B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第七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章  </w:t>
      </w:r>
      <w:r w:rsidR="00D13A2B">
        <w:rPr>
          <w:rFonts w:ascii="宋体" w:hAnsi="宋体" w:cs="宋体" w:hint="eastAsia"/>
          <w:color w:val="333333"/>
          <w:kern w:val="0"/>
          <w:sz w:val="28"/>
          <w:szCs w:val="28"/>
        </w:rPr>
        <w:t>企业分配</w:t>
      </w: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>分配</w:t>
      </w:r>
    </w:p>
    <w:p w:rsidR="00D13A2B" w:rsidRDefault="00D15209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第一节  </w:t>
      </w:r>
      <w:r w:rsidR="00D13A2B"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>企业分配概述</w:t>
      </w:r>
      <w:r w:rsidR="00D13A2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D13A2B" w:rsidRDefault="00D13A2B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第二节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>企业与员工之间的分配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D15209" w:rsidRPr="00D13A2B" w:rsidRDefault="00D13A2B" w:rsidP="00D13A2B">
      <w:pPr>
        <w:widowControl/>
        <w:snapToGrid w:val="0"/>
        <w:spacing w:line="360" w:lineRule="auto"/>
        <w:ind w:left="1425" w:right="705" w:hanging="8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第三节 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D13A2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企业与股东之间的分配 </w:t>
      </w:r>
      <w:r w:rsidR="00D15209" w:rsidRPr="006B6354">
        <w:rPr>
          <w:rFonts w:ascii="宋体" w:hAnsi="宋体" w:cs="宋体"/>
          <w:b/>
          <w:color w:val="333333"/>
          <w:kern w:val="0"/>
          <w:sz w:val="28"/>
          <w:szCs w:val="28"/>
        </w:rPr>
        <w:br w:type="page"/>
      </w:r>
    </w:p>
    <w:p w:rsidR="00D15209" w:rsidRPr="008C0812" w:rsidRDefault="00D15209" w:rsidP="00D15209">
      <w:pPr>
        <w:widowControl/>
        <w:snapToGrid w:val="0"/>
        <w:spacing w:line="360" w:lineRule="auto"/>
        <w:ind w:right="705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6B6354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 xml:space="preserve">第四部分  </w:t>
      </w:r>
      <w:r w:rsidRPr="008C0812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审  计</w:t>
      </w:r>
    </w:p>
    <w:p w:rsidR="00D15209" w:rsidRPr="00D15209" w:rsidRDefault="00D15209" w:rsidP="00D15209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D15209">
        <w:rPr>
          <w:rFonts w:ascii="宋体" w:hAnsi="宋体" w:cs="宋体" w:hint="eastAsia"/>
          <w:kern w:val="0"/>
          <w:sz w:val="28"/>
          <w:szCs w:val="28"/>
        </w:rPr>
        <w:t>第一章  总论</w:t>
      </w:r>
    </w:p>
    <w:p w:rsidR="005B0009" w:rsidRDefault="00D15209" w:rsidP="002179E2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 w:rsidR="002179E2"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="002179E2" w:rsidRPr="002179E2">
        <w:rPr>
          <w:rFonts w:ascii="宋体" w:hAnsi="宋体" w:cs="宋体" w:hint="eastAsia"/>
          <w:kern w:val="0"/>
          <w:sz w:val="28"/>
          <w:szCs w:val="28"/>
        </w:rPr>
        <w:t>审计的产生与发展</w:t>
      </w:r>
      <w:r w:rsidR="005B0009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5B0009" w:rsidRDefault="005B0009" w:rsidP="005B0009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="002179E2" w:rsidRPr="002179E2">
        <w:rPr>
          <w:rFonts w:ascii="宋体" w:hAnsi="宋体" w:cs="宋体" w:hint="eastAsia"/>
          <w:kern w:val="0"/>
          <w:sz w:val="28"/>
          <w:szCs w:val="28"/>
        </w:rPr>
        <w:t xml:space="preserve">审计的含义与特征 </w:t>
      </w:r>
    </w:p>
    <w:p w:rsidR="005B0009" w:rsidRDefault="005B0009" w:rsidP="005B0009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="002179E2" w:rsidRPr="002179E2">
        <w:rPr>
          <w:rFonts w:ascii="宋体" w:hAnsi="宋体" w:cs="宋体" w:hint="eastAsia"/>
          <w:kern w:val="0"/>
          <w:sz w:val="28"/>
          <w:szCs w:val="28"/>
        </w:rPr>
        <w:t>审计的目标与对象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D15209" w:rsidRPr="00D15209" w:rsidRDefault="005B0009" w:rsidP="005B0009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第四节 </w:t>
      </w:r>
      <w:r w:rsidR="002179E2" w:rsidRPr="002179E2">
        <w:rPr>
          <w:rFonts w:ascii="宋体" w:hAnsi="宋体" w:cs="宋体" w:hint="eastAsia"/>
          <w:kern w:val="0"/>
          <w:sz w:val="28"/>
          <w:szCs w:val="28"/>
        </w:rPr>
        <w:t>审计的职能与作用</w:t>
      </w:r>
    </w:p>
    <w:p w:rsidR="00400FBF" w:rsidRPr="00400FBF" w:rsidRDefault="00D15209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D15209">
        <w:rPr>
          <w:rFonts w:ascii="宋体" w:hAnsi="宋体" w:cs="宋体" w:hint="eastAsia"/>
          <w:kern w:val="0"/>
          <w:sz w:val="28"/>
          <w:szCs w:val="28"/>
        </w:rPr>
        <w:t xml:space="preserve">第二章  </w:t>
      </w:r>
      <w:r w:rsidR="00400FBF" w:rsidRPr="00400FBF">
        <w:rPr>
          <w:rFonts w:ascii="宋体" w:hAnsi="宋体" w:cs="宋体" w:hint="eastAsia"/>
          <w:kern w:val="0"/>
          <w:sz w:val="28"/>
          <w:szCs w:val="28"/>
        </w:rPr>
        <w:t xml:space="preserve">审计种类与审计方法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审计种类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审计方法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三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章 审计程序与审计证据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审计程序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审计证据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章 审计工作底稿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概述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审计工作底稿的内容与格式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审计工作底稿的归档与复核 </w:t>
      </w:r>
    </w:p>
    <w:p w:rsid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Pr="00400FBF">
        <w:rPr>
          <w:rFonts w:ascii="宋体" w:hAnsi="宋体" w:cs="宋体" w:hint="eastAsia"/>
          <w:kern w:val="0"/>
          <w:sz w:val="28"/>
          <w:szCs w:val="28"/>
        </w:rPr>
        <w:t>章 计划审计工作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初步业务活动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总体审计策略与具体审计计划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重要性与审计风险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六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章 内部控制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概述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内部控制的内容与形式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内部控制的重要性与局限性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第四节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内部控制测试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第五节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内部控制评价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第六节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内部控制审计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七章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 审计抽样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概述 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样本的设计与选取</w:t>
      </w:r>
    </w:p>
    <w:p w:rsid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抽样结果的评价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D15209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第四节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统计抽样的具体运用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/>
        <w:jc w:val="left"/>
        <w:rPr>
          <w:rFonts w:ascii="宋体" w:hAnsi="宋体" w:cs="宋体"/>
          <w:kern w:val="0"/>
          <w:sz w:val="28"/>
          <w:szCs w:val="28"/>
        </w:rPr>
      </w:pPr>
      <w:r w:rsidRPr="00400FBF">
        <w:rPr>
          <w:rFonts w:ascii="宋体" w:hAnsi="宋体" w:cs="宋体" w:hint="eastAsia"/>
          <w:kern w:val="0"/>
          <w:sz w:val="28"/>
          <w:szCs w:val="28"/>
        </w:rPr>
        <w:t>第</w:t>
      </w:r>
      <w:r>
        <w:rPr>
          <w:rFonts w:ascii="宋体" w:hAnsi="宋体" w:cs="宋体" w:hint="eastAsia"/>
          <w:kern w:val="0"/>
          <w:sz w:val="28"/>
          <w:szCs w:val="28"/>
        </w:rPr>
        <w:t>八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章 审计报告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第一节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审计报告的意义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第二节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审计报告的内容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第三节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审计报告的种类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第四节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审计意见的类型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第五节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特殊目的审计业务的审计报告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第六节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审计决定书与审计结果公告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第七节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 xml:space="preserve">编制审计报告的要求与步骤 </w:t>
      </w:r>
    </w:p>
    <w:p w:rsidR="00400FBF" w:rsidRPr="00400FBF" w:rsidRDefault="00400FBF" w:rsidP="00400FBF">
      <w:pPr>
        <w:widowControl/>
        <w:snapToGrid w:val="0"/>
        <w:spacing w:line="360" w:lineRule="auto"/>
        <w:ind w:right="705"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第八节 </w:t>
      </w:r>
      <w:r w:rsidRPr="00400FBF">
        <w:rPr>
          <w:rFonts w:ascii="宋体" w:hAnsi="宋体" w:cs="宋体" w:hint="eastAsia"/>
          <w:kern w:val="0"/>
          <w:sz w:val="28"/>
          <w:szCs w:val="28"/>
        </w:rPr>
        <w:t>管理建议书</w:t>
      </w:r>
    </w:p>
    <w:sectPr w:rsidR="00400FBF" w:rsidRPr="0040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C7" w:rsidRDefault="00C023C7" w:rsidP="00F61115">
      <w:r>
        <w:separator/>
      </w:r>
    </w:p>
  </w:endnote>
  <w:endnote w:type="continuationSeparator" w:id="0">
    <w:p w:rsidR="00C023C7" w:rsidRDefault="00C023C7" w:rsidP="00F6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C7" w:rsidRDefault="00C023C7" w:rsidP="00F61115">
      <w:r>
        <w:separator/>
      </w:r>
    </w:p>
  </w:footnote>
  <w:footnote w:type="continuationSeparator" w:id="0">
    <w:p w:rsidR="00C023C7" w:rsidRDefault="00C023C7" w:rsidP="00F6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F3"/>
    <w:rsid w:val="00047367"/>
    <w:rsid w:val="000657F3"/>
    <w:rsid w:val="00210F9B"/>
    <w:rsid w:val="002179E2"/>
    <w:rsid w:val="00400FBF"/>
    <w:rsid w:val="00484027"/>
    <w:rsid w:val="00542E2D"/>
    <w:rsid w:val="005B0009"/>
    <w:rsid w:val="0064686D"/>
    <w:rsid w:val="00671A8B"/>
    <w:rsid w:val="006E11E6"/>
    <w:rsid w:val="00891487"/>
    <w:rsid w:val="00AE1D98"/>
    <w:rsid w:val="00AE4F34"/>
    <w:rsid w:val="00BA0E6F"/>
    <w:rsid w:val="00C023C7"/>
    <w:rsid w:val="00C1354A"/>
    <w:rsid w:val="00CC7099"/>
    <w:rsid w:val="00D13A2B"/>
    <w:rsid w:val="00D15209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79F9"/>
  <w15:chartTrackingRefBased/>
  <w15:docId w15:val="{76A79D86-445C-4BD1-8BB0-78B540DF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0657F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657F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657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57F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11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2020-01-16T05:13:00Z</dcterms:created>
  <dcterms:modified xsi:type="dcterms:W3CDTF">2020-01-20T05:23:00Z</dcterms:modified>
</cp:coreProperties>
</file>