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4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2020级推免-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天津大学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环境学院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招收2020级推荐免试攻读硕士学位研究生及直接攻读博士学位研究生章程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欢迎全国各大院校优秀应届本科毕业生申请我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2020级推荐免试攻读硕士学位研究生（以下简称:推免硕士生）和直接攻读博士学位研究生（以下简称：直博生），上述两类统称推免生。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为使我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招收2020级推免生工作有序、规范进行，现将有关具体事宜做如下规定制定本章程：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-2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-2"/>
          <w:sz w:val="28"/>
          <w:szCs w:val="28"/>
          <w:shd w:val="clear" w:fill="FFFFFF"/>
        </w:rPr>
        <w:t>申请基本条件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见《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天津大学招收2020级推荐免试攻读硕士学位研究生及直接攻读博士学位研究生章程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资助与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见《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天津大学招收2020级推荐免试攻读硕士学位研究生及直接攻读博士学位研究生章程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推免硕士生申请程序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月28日教育部“推免申请系统”开通之前，有意到我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参加推免复试的外校考生须通过我校推免申请系统（网址：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"http://202.113.8.92/gstms"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http://202.113.8.92/gstms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）填报志愿；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报名截止日期9月15日。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通过初审并被允许参加复试的考生需提供以下材料：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1.《天津大学2020级推荐免试攻读硕士学位研究生复试申请表》（填报完成后生成打印）;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2.本科学习成绩单一份，要求加盖所在学校教务处或院级单位公章（红章原件）。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材料整理及提交方式：所提供材料均采用A4纸大小（成绩单可按所在学校格式），申请材料均需在复试前递交所申请学院研究生教务老师或复试秘书，一经收到，恕不退还。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另，考生在复试时需提供以下材料以备查验：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1.本人学生证、身份证;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2.国家级外语考试成绩或合格证书；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3.有公开发表的学术论文、科研成果或获奖证书者，提供相关证明。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有望被列入推免生名单的本校生，登陆我校推免申请系统（网址：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"http://202.113.8.92/gstms"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http://202.113.8.92/gstms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）填报志愿，打印《天津大学2020级推荐免试攻读硕士学位研究生复试申请表》，并交申请学院研究生教务办公室备案。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已参加我校研究生招生夏令营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且合格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的考生不需要再通过此系统填报志愿。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招生专业目录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4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  <w:t>环境学院接收2020级学术型推荐免试生的专业列表</w:t>
      </w:r>
    </w:p>
    <w:tbl>
      <w:tblPr>
        <w:tblStyle w:val="2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679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专业（领域）名称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071007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遗传学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080702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热能工程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081403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市政工程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081404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供热、供燃气、通风及空调工程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083002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0830Z1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环境信息与规划管理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0830Z2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环境生态学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0830Z3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海洋环境科学与技术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-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环境学院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接收2020级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全日制专业学位推荐免试生的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专业（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领域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269"/>
        <w:gridCol w:w="2651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专业（领域）名称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085700</w:t>
            </w: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资源与环境</w:t>
            </w:r>
          </w:p>
        </w:tc>
        <w:tc>
          <w:tcPr>
            <w:tcW w:w="2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环境科学与工程学院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01环境污染治理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02环境生态工程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03供热、供燃气、通风及空调工程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直接攻读博士学位申请程序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28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日教育部“推免申请系统”开通之前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，凡有意申请天津大学2020年直接攻博生的学生：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2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16"/>
          <w:szCs w:val="16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登陆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报名网址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"http://202.113.5.137/bszs/front/%E3%80%82(9"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sz w:val="28"/>
          <w:szCs w:val="28"/>
          <w:u w:val="single"/>
          <w:shd w:val="clear" w:fill="FFFFFF"/>
        </w:rPr>
        <w:t>http://202.113.5.137/bszs/front/</w:t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sz w:val="28"/>
          <w:szCs w:val="28"/>
          <w:u w:val="single"/>
          <w:shd w:val="clear" w:fill="FFFFFF"/>
        </w:rPr>
        <w:t>。(9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15日报名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截止)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，报名前需要提前跟意向报考的导师进行沟通。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报名材料明细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见《天津大学招收2020级推荐免试攻读硕士学位研究生及直接攻读博士学位研究生章程》。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接收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工作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安排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1" w:after="0" w:afterAutospacing="1" w:line="360" w:lineRule="atLeast"/>
        <w:ind w:left="0" w:right="0" w:firstLine="57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申请人必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须在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教育部 “推免服务系统”（网址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"http://yz.chsi.com.cn/tm"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sz w:val="28"/>
          <w:szCs w:val="28"/>
          <w:u w:val="single"/>
          <w:shd w:val="clear" w:fill="FFFFFF"/>
        </w:rPr>
        <w:t>http://yz.chsi.com.cn/tm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)开通期间（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（具体开通时间以教育部文件为准）第一时间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对我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相关专业提出申请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1" w:after="0" w:afterAutospacing="1" w:line="360" w:lineRule="atLeast"/>
        <w:ind w:left="0" w:leftChars="0" w:right="0" w:rightChars="0" w:firstLine="57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批次审核申请信息。通过复试并取得《复试合格单》的考生可具备在教育部“推免服务系统”申报天津大学的资质，由学校及考生双向选择，确定录取与否。教育部“推免服务系统”开通前，学院会根据招生名额，综合考虑面试情况，将复试合格考生综合排序，划分拟录取批次，按批次先后录取，相同批次内本着先申请先审核的原则，择优选拔，额满为止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1" w:after="0" w:afterAutospacing="1" w:line="360" w:lineRule="atLeast"/>
        <w:ind w:left="0" w:leftChars="0" w:right="0" w:rightChars="0" w:firstLine="57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复试录取基本要求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tLeas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复试考察学生德、智、体、能、勤等多方面的综合素质，着重考察学生科研创新潜力，对学科的认识、学科知识的综合应用能力，考生知识背景等。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16"/>
          <w:szCs w:val="16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复试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采用面试的方式进行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，复试内容可参考复试大纲(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"http://yzb.tju.edu.cn/xwzx/tkss_xw/"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sz w:val="28"/>
          <w:szCs w:val="28"/>
          <w:u w:val="single"/>
          <w:shd w:val="clear" w:fill="FFFFFF"/>
        </w:rPr>
        <w:t>http://yzb.tju.edu.cn/xwzx/tkss_xw/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根据申请学生情况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及时遴选，发送复试通知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批次组织复试，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目前已完成第一批次的复试工作。第二批的面试时间将在9月20 日左右进行，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具体复试时间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以正式通知为准。学院将通过邮件和学院网站发布通知两种途径通知学生，请及时关注。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凡通过复试，被我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接收的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考生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学校通过“推免服务系统”发布待录取通知，考生收到待录取通知后，须在学院规定时间内通过“推免服务系统”确认录取，否则视为放弃。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5.录取信息公示与公开。凡被我校拟录取的推免生名单需在我校研招网（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"http://yzb.tju.edu.cn/"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sz w:val="28"/>
          <w:szCs w:val="28"/>
          <w:u w:val="single"/>
          <w:shd w:val="clear" w:fill="FFFFFF"/>
        </w:rPr>
        <w:t>http://yzb.tju.edu.cn/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8577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）进行公示，公示时间不少于10个工作日。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、其他说明：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申请人必须保证全部申请材料的真实性和准确性，一经发现申请人提交的材料内容不真实或不准确，我校将取消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录取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资格。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复试期间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不再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安排体格检查，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体检工作统一放在转年新生开学报到期间进行。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注：以上政策及时间节点安排参照2020年教育部文件，若有变动以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年教育部文件规定为准。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 w:line="360" w:lineRule="atLeast"/>
        <w:ind w:left="0" w:right="0" w:firstLine="561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天津大学环境科学与工程学院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 w:line="360" w:lineRule="atLeast"/>
        <w:ind w:left="0" w:right="0" w:firstLine="561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2019年9月6日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1" w:after="0" w:afterAutospacing="1" w:line="360" w:lineRule="atLeast"/>
        <w:ind w:left="57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78866F"/>
    <w:multiLevelType w:val="singleLevel"/>
    <w:tmpl w:val="CB7886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91E31E"/>
    <w:multiLevelType w:val="singleLevel"/>
    <w:tmpl w:val="0591E3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A06"/>
    <w:rsid w:val="0DF9222C"/>
    <w:rsid w:val="0E190022"/>
    <w:rsid w:val="0EC271C3"/>
    <w:rsid w:val="12A34487"/>
    <w:rsid w:val="1E70309F"/>
    <w:rsid w:val="1FD61956"/>
    <w:rsid w:val="205543D6"/>
    <w:rsid w:val="21B6754A"/>
    <w:rsid w:val="22874A0A"/>
    <w:rsid w:val="232556D1"/>
    <w:rsid w:val="2D8D0943"/>
    <w:rsid w:val="33A63601"/>
    <w:rsid w:val="365D5E6D"/>
    <w:rsid w:val="38625E58"/>
    <w:rsid w:val="3B464F44"/>
    <w:rsid w:val="3ECB2A8D"/>
    <w:rsid w:val="4415055D"/>
    <w:rsid w:val="473E53C0"/>
    <w:rsid w:val="49A16C1A"/>
    <w:rsid w:val="4ABD2848"/>
    <w:rsid w:val="4D6D32C6"/>
    <w:rsid w:val="4E5B5148"/>
    <w:rsid w:val="4F063A93"/>
    <w:rsid w:val="54713A3D"/>
    <w:rsid w:val="54B80B3F"/>
    <w:rsid w:val="5E2E0725"/>
    <w:rsid w:val="63E0352A"/>
    <w:rsid w:val="66C727A9"/>
    <w:rsid w:val="763E0FA2"/>
    <w:rsid w:val="77D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2019-09-06T06:17:10Z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