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BC7433">
      <w:pPr>
        <w:widowControl/>
        <w:jc w:val="center"/>
      </w:pPr>
    </w:p>
    <w:p w:rsidR="00BC7433" w:rsidRDefault="004C39F0">
      <w:pPr>
        <w:widowControl/>
        <w:jc w:val="center"/>
        <w:rPr>
          <w:rFonts w:ascii="宋体" w:hAnsi="宋体"/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2659380" cy="487680"/>
            <wp:effectExtent l="19050" t="0" r="7620" b="0"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433" w:rsidRDefault="004C39F0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硕士研究生入学统一考试</w:t>
      </w:r>
    </w:p>
    <w:p w:rsidR="00BC7433" w:rsidRDefault="004C39F0">
      <w:pPr>
        <w:widowControl/>
        <w:jc w:val="center"/>
        <w:rPr>
          <w:rFonts w:ascii="黑体" w:eastAsia="黑体" w:hAnsi="华文中宋"/>
          <w:b/>
          <w:sz w:val="52"/>
          <w:szCs w:val="52"/>
        </w:rPr>
      </w:pPr>
      <w:r>
        <w:rPr>
          <w:rFonts w:ascii="黑体" w:eastAsia="黑体" w:hAnsi="华文中宋" w:hint="eastAsia"/>
          <w:b/>
          <w:sz w:val="52"/>
          <w:szCs w:val="52"/>
        </w:rPr>
        <w:t>《汉语作为第二语言教学设计与分析》</w:t>
      </w:r>
    </w:p>
    <w:p w:rsidR="00BC7433" w:rsidRDefault="004C39F0">
      <w:pPr>
        <w:widowControl/>
        <w:jc w:val="center"/>
        <w:rPr>
          <w:rFonts w:ascii="黑体" w:eastAsia="黑体" w:hAnsi="华文中宋"/>
          <w:b/>
          <w:sz w:val="52"/>
          <w:szCs w:val="52"/>
        </w:rPr>
      </w:pPr>
      <w:r>
        <w:rPr>
          <w:rFonts w:ascii="黑体" w:eastAsia="黑体" w:hAnsi="华文中宋" w:hint="eastAsia"/>
          <w:b/>
          <w:sz w:val="52"/>
          <w:szCs w:val="52"/>
        </w:rPr>
        <w:t>科目大纲</w:t>
      </w:r>
    </w:p>
    <w:p w:rsidR="00BC7433" w:rsidRDefault="004C39F0">
      <w:pPr>
        <w:widowControl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(科目代码：</w:t>
      </w:r>
      <w:r w:rsidR="001755C2">
        <w:rPr>
          <w:rFonts w:ascii="黑体" w:eastAsia="黑体" w:hAnsi="宋体" w:hint="eastAsia"/>
          <w:color w:val="FF0000"/>
          <w:sz w:val="30"/>
          <w:szCs w:val="30"/>
        </w:rPr>
        <w:t>978</w:t>
      </w:r>
      <w:r>
        <w:rPr>
          <w:rFonts w:ascii="黑体" w:eastAsia="黑体" w:hAnsi="宋体" w:hint="eastAsia"/>
          <w:sz w:val="30"/>
          <w:szCs w:val="30"/>
        </w:rPr>
        <w:t>)</w:t>
      </w: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BC7433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BC7433" w:rsidRDefault="004C39F0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学院名称(盖章)：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国际文化交流学院   </w:t>
      </w:r>
    </w:p>
    <w:p w:rsidR="00BC7433" w:rsidRPr="00D829A5" w:rsidRDefault="004C39F0" w:rsidP="00D829A5">
      <w:pPr>
        <w:widowControl/>
        <w:spacing w:line="800" w:lineRule="exact"/>
        <w:ind w:firstLineChars="556" w:firstLine="1598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学院负责人(签字)：</w:t>
      </w:r>
      <w:r w:rsidR="00D829A5">
        <w:rPr>
          <w:rFonts w:ascii="仿宋_GB2312" w:eastAsia="仿宋_GB2312" w:hAnsi="宋体" w:hint="eastAsia"/>
          <w:w w:val="90"/>
          <w:sz w:val="32"/>
          <w:szCs w:val="32"/>
        </w:rPr>
        <w:t>_</w:t>
      </w:r>
      <w:r w:rsidR="00D829A5">
        <w:rPr>
          <w:rFonts w:ascii="仿宋_GB2312" w:eastAsia="仿宋_GB2312" w:hAnsi="宋体" w:hint="eastAsia"/>
          <w:w w:val="90"/>
          <w:sz w:val="32"/>
          <w:szCs w:val="32"/>
        </w:rPr>
        <w:softHyphen/>
      </w:r>
      <w:r w:rsidR="00D829A5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</w:t>
      </w:r>
    </w:p>
    <w:p w:rsidR="00BC7433" w:rsidRDefault="004C39F0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编  制  时  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2019年 6月6日    </w:t>
      </w:r>
    </w:p>
    <w:p w:rsidR="00BC7433" w:rsidRDefault="00BC7433">
      <w:pPr>
        <w:widowControl/>
        <w:spacing w:line="800" w:lineRule="exact"/>
        <w:ind w:firstLineChars="200" w:firstLine="480"/>
        <w:jc w:val="left"/>
        <w:rPr>
          <w:rFonts w:ascii="宋体" w:hAnsi="宋体" w:hint="eastAsia"/>
          <w:sz w:val="24"/>
        </w:rPr>
      </w:pPr>
    </w:p>
    <w:p w:rsidR="00D829A5" w:rsidRDefault="00D829A5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BC7433" w:rsidRDefault="004C39F0">
      <w:pPr>
        <w:widowControl/>
        <w:jc w:val="center"/>
        <w:rPr>
          <w:rFonts w:ascii="黑体" w:eastAsia="黑体" w:hAnsi="华文中宋"/>
          <w:b/>
          <w:sz w:val="30"/>
          <w:szCs w:val="30"/>
        </w:rPr>
      </w:pPr>
      <w:r>
        <w:rPr>
          <w:rFonts w:ascii="黑体" w:eastAsia="黑体" w:hAnsi="华文中宋" w:hint="eastAsia"/>
          <w:b/>
          <w:sz w:val="30"/>
          <w:szCs w:val="30"/>
        </w:rPr>
        <w:t>《</w:t>
      </w:r>
      <w:r>
        <w:rPr>
          <w:rFonts w:ascii="黑体" w:eastAsia="黑体" w:hAnsi="宋体" w:hint="eastAsia"/>
          <w:b/>
          <w:sz w:val="30"/>
          <w:szCs w:val="30"/>
        </w:rPr>
        <w:t>汉语作为第二语言教学设计与分析</w:t>
      </w:r>
      <w:r>
        <w:rPr>
          <w:rFonts w:ascii="黑体" w:eastAsia="黑体" w:hAnsi="华文中宋" w:hint="eastAsia"/>
          <w:b/>
          <w:sz w:val="30"/>
          <w:szCs w:val="30"/>
        </w:rPr>
        <w:t>》科目大纲</w:t>
      </w:r>
    </w:p>
    <w:p w:rsidR="00BC7433" w:rsidRDefault="004C39F0">
      <w:pPr>
        <w:widowControl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(科目代码：</w:t>
      </w:r>
      <w:r w:rsidR="001755C2">
        <w:rPr>
          <w:rFonts w:ascii="黑体" w:eastAsia="黑体" w:hAnsi="宋体" w:hint="eastAsia"/>
          <w:color w:val="FF0000"/>
          <w:sz w:val="24"/>
        </w:rPr>
        <w:t>978</w:t>
      </w:r>
      <w:r>
        <w:rPr>
          <w:rFonts w:ascii="黑体" w:eastAsia="黑体" w:hAnsi="宋体" w:hint="eastAsia"/>
          <w:sz w:val="24"/>
        </w:rPr>
        <w:t>)</w:t>
      </w:r>
    </w:p>
    <w:p w:rsidR="00BC7433" w:rsidRDefault="004C39F0">
      <w:pPr>
        <w:widowControl/>
        <w:spacing w:line="400" w:lineRule="exact"/>
        <w:ind w:firstLineChars="100" w:firstLine="281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一、考核要求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汉语作为第二语言教学设计与分析是汉语国际教育硕士生入学考试</w:t>
      </w:r>
      <w:r w:rsidR="00313DA8">
        <w:rPr>
          <w:rFonts w:ascii="仿宋_GB2312" w:eastAsia="仿宋_GB2312" w:hAnsi="宋体" w:hint="eastAsia"/>
          <w:bCs/>
          <w:sz w:val="28"/>
          <w:szCs w:val="28"/>
        </w:rPr>
        <w:t>复试笔试科目</w:t>
      </w:r>
      <w:r>
        <w:rPr>
          <w:rFonts w:ascii="仿宋_GB2312" w:eastAsia="仿宋_GB2312" w:hAnsi="宋体" w:hint="eastAsia"/>
          <w:bCs/>
          <w:sz w:val="28"/>
          <w:szCs w:val="28"/>
        </w:rPr>
        <w:t>。我们根据汉语国际教育硕士专业学</w:t>
      </w:r>
      <w:r w:rsidR="00313DA8">
        <w:rPr>
          <w:rFonts w:ascii="仿宋_GB2312" w:eastAsia="仿宋_GB2312" w:hAnsi="宋体" w:hint="eastAsia"/>
          <w:bCs/>
          <w:sz w:val="28"/>
          <w:szCs w:val="28"/>
        </w:rPr>
        <w:t>位教育指导委员会统一制定的考试大纲，结合我校的实际情况，制定自</w:t>
      </w:r>
      <w:r>
        <w:rPr>
          <w:rFonts w:ascii="仿宋_GB2312" w:eastAsia="仿宋_GB2312" w:hAnsi="宋体" w:hint="eastAsia"/>
          <w:bCs/>
          <w:sz w:val="28"/>
          <w:szCs w:val="28"/>
        </w:rPr>
        <w:t>命题的依据，力图符合该科目选拔性考试的要求。本考试大纲的制定力求反映汉语国际教育硕士专业学位的特点，科学、公平、准确、规范地测评考生的相关知识基础、基本素质和综合能力，其目的是测试考生的汉语教学基础知识和教学实践能力。</w:t>
      </w:r>
    </w:p>
    <w:p w:rsidR="00BC7433" w:rsidRDefault="004C39F0">
      <w:pPr>
        <w:widowControl/>
        <w:spacing w:line="400" w:lineRule="exact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二、考核评价目标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（一）要求考生具有汉语教学设计的理论基础，能根据实际情况分析教学对象及其需求。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（二）要求考生能够根据所给材料，制定出科学的</w:t>
      </w:r>
      <w:r w:rsidR="00951554">
        <w:rPr>
          <w:rFonts w:ascii="仿宋_GB2312" w:eastAsia="仿宋_GB2312" w:hAnsi="宋体" w:hint="eastAsia"/>
          <w:bCs/>
          <w:sz w:val="28"/>
          <w:szCs w:val="28"/>
        </w:rPr>
        <w:t>教学设计</w:t>
      </w:r>
      <w:r>
        <w:rPr>
          <w:rFonts w:ascii="仿宋_GB2312" w:eastAsia="仿宋_GB2312" w:hAnsi="宋体" w:hint="eastAsia"/>
          <w:bCs/>
          <w:sz w:val="28"/>
          <w:szCs w:val="28"/>
        </w:rPr>
        <w:t>，合理组织课堂教学。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（三）要求考生具备汉语测试方面的基础知识，能够对课堂教学效果进行评估和反思。</w:t>
      </w:r>
    </w:p>
    <w:p w:rsidR="00BC7433" w:rsidRDefault="004C39F0">
      <w:pPr>
        <w:widowControl/>
        <w:spacing w:line="400" w:lineRule="exact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三、考核内容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汉语作为第二语言教学设计与分析考试主要由“汉语教学设计基础理论”，“汉语课程教案设计与分析”，“汉语语言测试与教学评估”三部分组成。</w:t>
      </w:r>
    </w:p>
    <w:p w:rsidR="00BC7433" w:rsidRDefault="004C39F0">
      <w:pPr>
        <w:widowControl/>
        <w:spacing w:line="40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第一部分  汉语教学设计基础理论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第一节  教学设计的理论基础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第二节  教学设计的过程模式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第三节  教学对象分析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第四节  教学需求分析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第五节  教学内容分析</w:t>
      </w:r>
    </w:p>
    <w:p w:rsidR="00BC7433" w:rsidRDefault="004C39F0">
      <w:pPr>
        <w:widowControl/>
        <w:spacing w:line="40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第二部分  汉语课程教案设计与分析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第一节  教学内容设计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第二节  教学流程设计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第三节  课堂活动设计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第四节  教案编写与分析</w:t>
      </w:r>
    </w:p>
    <w:p w:rsidR="00BC7433" w:rsidRDefault="004C39F0">
      <w:pPr>
        <w:widowControl/>
        <w:spacing w:line="40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第三部分  汉语语言测试与教学评估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第一节  语言测试的概念与题型</w:t>
      </w:r>
    </w:p>
    <w:p w:rsidR="00BC7433" w:rsidRDefault="004C39F0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第二节  课堂教学评估</w:t>
      </w:r>
    </w:p>
    <w:p w:rsidR="00BC7433" w:rsidRDefault="004C39F0">
      <w:pPr>
        <w:widowControl/>
        <w:spacing w:line="400" w:lineRule="exact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四、参考书目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崔永华编著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《对外汉语教学设计导论》，北京语言大学出版社</w:t>
      </w:r>
      <w:r>
        <w:rPr>
          <w:rFonts w:ascii="仿宋_GB2312" w:eastAsia="仿宋_GB2312" w:hAnsi="宋体" w:hint="eastAsia"/>
          <w:bCs/>
          <w:sz w:val="28"/>
          <w:szCs w:val="28"/>
        </w:rPr>
        <w:t>，2008年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廖建玲著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《国际汉语教学设计》，高等教育出版社</w:t>
      </w:r>
      <w:r>
        <w:rPr>
          <w:rFonts w:ascii="仿宋_GB2312" w:eastAsia="仿宋_GB2312" w:hAnsi="宋体" w:hint="eastAsia"/>
          <w:bCs/>
          <w:sz w:val="28"/>
          <w:szCs w:val="28"/>
        </w:rPr>
        <w:t>，2013年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徐子亮、吴仁甫著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《实用对外汉语教学法》</w:t>
      </w:r>
      <w:r>
        <w:rPr>
          <w:rFonts w:ascii="仿宋_GB2312" w:eastAsia="仿宋_GB2312" w:hAnsi="宋体" w:hint="eastAsia"/>
          <w:bCs/>
          <w:sz w:val="28"/>
          <w:szCs w:val="28"/>
        </w:rPr>
        <w:t>（第三版）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，北京大学出版社</w:t>
      </w:r>
      <w:r>
        <w:rPr>
          <w:rFonts w:ascii="仿宋_GB2312" w:eastAsia="仿宋_GB2312" w:hAnsi="宋体" w:hint="eastAsia"/>
          <w:bCs/>
          <w:sz w:val="28"/>
          <w:szCs w:val="28"/>
        </w:rPr>
        <w:t>，2013年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陈宏、吴永毅、赵燕清主编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《对外汉语教学课堂教案设计》，华语教学出版社</w:t>
      </w:r>
      <w:r>
        <w:rPr>
          <w:rFonts w:ascii="仿宋_GB2312" w:eastAsia="仿宋_GB2312" w:hAnsi="宋体" w:hint="eastAsia"/>
          <w:bCs/>
          <w:sz w:val="28"/>
          <w:szCs w:val="28"/>
        </w:rPr>
        <w:t>，2003年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张和生、马燕华主编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《对外汉语教学示范教案》，北京师范大学出版社</w:t>
      </w:r>
      <w:r>
        <w:rPr>
          <w:rFonts w:ascii="仿宋_GB2312" w:eastAsia="仿宋_GB2312" w:hAnsi="宋体" w:hint="eastAsia"/>
          <w:bCs/>
          <w:sz w:val="28"/>
          <w:szCs w:val="28"/>
        </w:rPr>
        <w:t>，2209年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BC7433" w:rsidRDefault="0074476E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崔永华、杨寄洲编《对外汉语课堂教学技巧》</w:t>
      </w:r>
      <w:r w:rsidR="004C39F0">
        <w:rPr>
          <w:rFonts w:ascii="仿宋_GB2312" w:eastAsia="仿宋_GB2312" w:hAnsi="宋体" w:hint="eastAsia"/>
          <w:bCs/>
          <w:sz w:val="28"/>
          <w:szCs w:val="28"/>
        </w:rPr>
        <w:t>，北京语言大学出版社</w:t>
      </w:r>
      <w:r>
        <w:rPr>
          <w:rFonts w:ascii="仿宋_GB2312" w:eastAsia="仿宋_GB2312" w:hAnsi="宋体" w:hint="eastAsia"/>
          <w:bCs/>
          <w:sz w:val="28"/>
          <w:szCs w:val="28"/>
        </w:rPr>
        <w:t>，1997年</w:t>
      </w:r>
      <w:bookmarkStart w:id="0" w:name="_GoBack"/>
      <w:bookmarkEnd w:id="0"/>
      <w:r w:rsidR="004C39F0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BC7433" w:rsidRDefault="00BC7433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</w:p>
    <w:sectPr w:rsidR="00BC7433" w:rsidSect="006C5F27">
      <w:headerReference w:type="default" r:id="rId8"/>
      <w:pgSz w:w="11906" w:h="16838"/>
      <w:pgMar w:top="1588" w:right="1247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F41" w:rsidRDefault="00FC1F41">
      <w:r>
        <w:separator/>
      </w:r>
    </w:p>
  </w:endnote>
  <w:endnote w:type="continuationSeparator" w:id="0">
    <w:p w:rsidR="00FC1F41" w:rsidRDefault="00FC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F41" w:rsidRDefault="00FC1F41">
      <w:r>
        <w:separator/>
      </w:r>
    </w:p>
  </w:footnote>
  <w:footnote w:type="continuationSeparator" w:id="0">
    <w:p w:rsidR="00FC1F41" w:rsidRDefault="00FC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3" w:rsidRDefault="00BC743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6ED4"/>
    <w:rsid w:val="00007BA9"/>
    <w:rsid w:val="00044AE2"/>
    <w:rsid w:val="0007385F"/>
    <w:rsid w:val="000752AE"/>
    <w:rsid w:val="00083C81"/>
    <w:rsid w:val="000938B0"/>
    <w:rsid w:val="000A307B"/>
    <w:rsid w:val="000D6ED4"/>
    <w:rsid w:val="0014776D"/>
    <w:rsid w:val="00155BA2"/>
    <w:rsid w:val="00167D1B"/>
    <w:rsid w:val="001755C2"/>
    <w:rsid w:val="00182132"/>
    <w:rsid w:val="00197A98"/>
    <w:rsid w:val="001A0310"/>
    <w:rsid w:val="001A0467"/>
    <w:rsid w:val="001F367B"/>
    <w:rsid w:val="002036CF"/>
    <w:rsid w:val="0026441C"/>
    <w:rsid w:val="00273F90"/>
    <w:rsid w:val="00290800"/>
    <w:rsid w:val="003078FF"/>
    <w:rsid w:val="00313DA8"/>
    <w:rsid w:val="003633A7"/>
    <w:rsid w:val="003668C9"/>
    <w:rsid w:val="00383E03"/>
    <w:rsid w:val="003B188A"/>
    <w:rsid w:val="003B4B0B"/>
    <w:rsid w:val="003E41AC"/>
    <w:rsid w:val="0041366D"/>
    <w:rsid w:val="004224D3"/>
    <w:rsid w:val="004232F3"/>
    <w:rsid w:val="00455716"/>
    <w:rsid w:val="00485C3F"/>
    <w:rsid w:val="004C39F0"/>
    <w:rsid w:val="004C6481"/>
    <w:rsid w:val="00513C1C"/>
    <w:rsid w:val="00523D60"/>
    <w:rsid w:val="005733BF"/>
    <w:rsid w:val="00612B33"/>
    <w:rsid w:val="00616B04"/>
    <w:rsid w:val="00630BDB"/>
    <w:rsid w:val="00631D48"/>
    <w:rsid w:val="00681475"/>
    <w:rsid w:val="006901E6"/>
    <w:rsid w:val="006B05FE"/>
    <w:rsid w:val="006C5F27"/>
    <w:rsid w:val="006D3598"/>
    <w:rsid w:val="00723A76"/>
    <w:rsid w:val="0072728D"/>
    <w:rsid w:val="007348AF"/>
    <w:rsid w:val="0074476E"/>
    <w:rsid w:val="00746265"/>
    <w:rsid w:val="00755D09"/>
    <w:rsid w:val="007615EA"/>
    <w:rsid w:val="0076708D"/>
    <w:rsid w:val="00797615"/>
    <w:rsid w:val="007B33DE"/>
    <w:rsid w:val="0082559A"/>
    <w:rsid w:val="008361B0"/>
    <w:rsid w:val="0084180B"/>
    <w:rsid w:val="00856BA6"/>
    <w:rsid w:val="00881288"/>
    <w:rsid w:val="008A58E7"/>
    <w:rsid w:val="008B171E"/>
    <w:rsid w:val="008D68CC"/>
    <w:rsid w:val="008E4462"/>
    <w:rsid w:val="00951554"/>
    <w:rsid w:val="00952326"/>
    <w:rsid w:val="009529C1"/>
    <w:rsid w:val="009551A6"/>
    <w:rsid w:val="00973D1F"/>
    <w:rsid w:val="009F1A5E"/>
    <w:rsid w:val="009F6712"/>
    <w:rsid w:val="00A10AC3"/>
    <w:rsid w:val="00A26125"/>
    <w:rsid w:val="00A309FD"/>
    <w:rsid w:val="00A424F6"/>
    <w:rsid w:val="00A627E3"/>
    <w:rsid w:val="00A856F0"/>
    <w:rsid w:val="00AC4E68"/>
    <w:rsid w:val="00AF6C9F"/>
    <w:rsid w:val="00B06B89"/>
    <w:rsid w:val="00B17978"/>
    <w:rsid w:val="00B60853"/>
    <w:rsid w:val="00B73EA8"/>
    <w:rsid w:val="00BB3E9C"/>
    <w:rsid w:val="00BC05D2"/>
    <w:rsid w:val="00BC7433"/>
    <w:rsid w:val="00BE729E"/>
    <w:rsid w:val="00BF6641"/>
    <w:rsid w:val="00C41C30"/>
    <w:rsid w:val="00C906CF"/>
    <w:rsid w:val="00CA3A68"/>
    <w:rsid w:val="00CB2B38"/>
    <w:rsid w:val="00CD102E"/>
    <w:rsid w:val="00D031A6"/>
    <w:rsid w:val="00D146A1"/>
    <w:rsid w:val="00D3025A"/>
    <w:rsid w:val="00D5499A"/>
    <w:rsid w:val="00D825EC"/>
    <w:rsid w:val="00D829A5"/>
    <w:rsid w:val="00E16F6A"/>
    <w:rsid w:val="00E22AB7"/>
    <w:rsid w:val="00F015B3"/>
    <w:rsid w:val="00F8294F"/>
    <w:rsid w:val="00FA1859"/>
    <w:rsid w:val="00FA563C"/>
    <w:rsid w:val="00FC1F41"/>
    <w:rsid w:val="00FC789D"/>
    <w:rsid w:val="09BC54D0"/>
    <w:rsid w:val="110F135A"/>
    <w:rsid w:val="1F0C3D31"/>
    <w:rsid w:val="213931FB"/>
    <w:rsid w:val="231244EE"/>
    <w:rsid w:val="2CBA5526"/>
    <w:rsid w:val="32EE052A"/>
    <w:rsid w:val="435C664B"/>
    <w:rsid w:val="47E06E1B"/>
    <w:rsid w:val="5BCB0432"/>
    <w:rsid w:val="5C78201D"/>
    <w:rsid w:val="5D354EE6"/>
    <w:rsid w:val="5DFF47AF"/>
    <w:rsid w:val="600D72DE"/>
    <w:rsid w:val="64CC397F"/>
    <w:rsid w:val="6B92347F"/>
    <w:rsid w:val="72BA2276"/>
    <w:rsid w:val="7881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C5F27"/>
    <w:rPr>
      <w:sz w:val="18"/>
      <w:szCs w:val="18"/>
    </w:rPr>
  </w:style>
  <w:style w:type="paragraph" w:styleId="a4">
    <w:name w:val="footer"/>
    <w:basedOn w:val="a"/>
    <w:qFormat/>
    <w:rsid w:val="006C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C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C5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6C5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6C5F2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>999宝藏网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关于做好全日制研究生入学考试考试科目大纲编制工作的通知</dc:title>
  <dc:creator>Admin</dc:creator>
  <cp:lastModifiedBy>Administrator</cp:lastModifiedBy>
  <cp:revision>2</cp:revision>
  <cp:lastPrinted>2010-09-25T07:47:00Z</cp:lastPrinted>
  <dcterms:created xsi:type="dcterms:W3CDTF">2019-06-12T00:44:00Z</dcterms:created>
  <dcterms:modified xsi:type="dcterms:W3CDTF">2019-06-12T00:44:00Z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