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adjustRightInd w:val="0"/>
        <w:snapToGrid w:val="0"/>
        <w:spacing w:after="180" w:line="320" w:lineRule="exact"/>
        <w:jc w:val="center"/>
        <w:rPr>
          <w:rFonts w:ascii="黑体" w:hAnsi="黑体" w:eastAsia="黑体" w:cs="黑体"/>
          <w:b/>
          <w:bCs/>
          <w:color w:val="000000" w:themeColor="text1"/>
          <w:kern w:val="0"/>
          <w:sz w:val="30"/>
          <w:szCs w:val="30"/>
        </w:rPr>
      </w:pPr>
      <w:r>
        <w:rPr>
          <w:rFonts w:hint="eastAsia" w:ascii="黑体" w:hAnsi="黑体" w:eastAsia="黑体" w:cs="黑体"/>
          <w:b/>
          <w:bCs/>
          <w:color w:val="000000" w:themeColor="text1"/>
          <w:kern w:val="0"/>
          <w:sz w:val="30"/>
          <w:szCs w:val="30"/>
        </w:rPr>
        <w:t>合肥师范学院</w:t>
      </w:r>
    </w:p>
    <w:p>
      <w:pPr>
        <w:widowControl/>
        <w:adjustRightInd w:val="0"/>
        <w:snapToGrid w:val="0"/>
        <w:spacing w:after="180" w:line="320" w:lineRule="exact"/>
        <w:jc w:val="center"/>
        <w:rPr>
          <w:rFonts w:ascii="黑体" w:hAnsi="黑体" w:eastAsia="黑体" w:cs="黑体"/>
          <w:b/>
          <w:bCs/>
          <w:color w:val="000000" w:themeColor="text1"/>
          <w:kern w:val="0"/>
          <w:sz w:val="30"/>
          <w:szCs w:val="30"/>
        </w:rPr>
      </w:pPr>
      <w:r>
        <w:rPr>
          <w:rFonts w:hint="eastAsia" w:ascii="黑体" w:hAnsi="黑体" w:eastAsia="黑体" w:cs="黑体"/>
          <w:b/>
          <w:bCs/>
          <w:color w:val="000000" w:themeColor="text1"/>
          <w:kern w:val="0"/>
          <w:sz w:val="30"/>
          <w:szCs w:val="30"/>
        </w:rPr>
        <w:t>教育硕士专业学位研究生初试科目考试大纲</w:t>
      </w:r>
    </w:p>
    <w:p>
      <w:pPr>
        <w:widowControl/>
        <w:adjustRightInd w:val="0"/>
        <w:snapToGrid w:val="0"/>
        <w:spacing w:after="180" w:line="320" w:lineRule="exact"/>
        <w:ind w:firstLine="600"/>
        <w:jc w:val="left"/>
        <w:rPr>
          <w:rFonts w:ascii="Arial" w:hAnsi="Arial" w:cs="Arial"/>
          <w:b/>
          <w:bCs/>
          <w:color w:val="000000" w:themeColor="text1"/>
          <w:kern w:val="0"/>
          <w:sz w:val="30"/>
          <w:szCs w:val="30"/>
        </w:rPr>
      </w:pPr>
      <w:r>
        <w:rPr>
          <w:rFonts w:hint="eastAsia" w:ascii="黑体" w:hAnsi="黑体" w:eastAsia="黑体" w:cs="黑体"/>
          <w:b/>
          <w:bCs/>
          <w:color w:val="000000" w:themeColor="text1"/>
          <w:kern w:val="0"/>
          <w:sz w:val="30"/>
          <w:szCs w:val="30"/>
        </w:rPr>
        <w:t xml:space="preserve">                 ——</w:t>
      </w:r>
      <w:r>
        <w:rPr>
          <w:rFonts w:hint="eastAsia" w:ascii="黑体" w:eastAsia="黑体"/>
          <w:color w:val="000000" w:themeColor="text1"/>
          <w:sz w:val="30"/>
          <w:szCs w:val="30"/>
        </w:rPr>
        <w:t>普通物理学</w:t>
      </w:r>
    </w:p>
    <w:p>
      <w:pPr>
        <w:adjustRightInd w:val="0"/>
        <w:snapToGrid w:val="0"/>
        <w:spacing w:line="320" w:lineRule="exact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cs="Times New Roman"/>
          <w:b/>
          <w:bCs/>
          <w:color w:val="000000" w:themeColor="text1"/>
        </w:rPr>
        <w:t>一、考核目标</w:t>
      </w:r>
      <w:r>
        <w:rPr>
          <w:rFonts w:ascii="Times New Roman" w:hAnsi="Times New Roman" w:cs="Times New Roman"/>
          <w:color w:val="000000" w:themeColor="text1"/>
        </w:rPr>
        <w:br w:type="textWrapping"/>
      </w:r>
      <w:r>
        <w:rPr>
          <w:rFonts w:ascii="Times New Roman" w:cs="Times New Roman"/>
          <w:color w:val="000000" w:themeColor="text1"/>
          <w:szCs w:val="21"/>
        </w:rPr>
        <w:t>　</w:t>
      </w:r>
      <w:r>
        <w:rPr>
          <w:rFonts w:hint="eastAsia" w:ascii="Times New Roman" w:cs="Times New Roman"/>
          <w:color w:val="000000" w:themeColor="text1"/>
          <w:szCs w:val="21"/>
        </w:rPr>
        <w:t xml:space="preserve">  </w:t>
      </w:r>
      <w:r>
        <w:rPr>
          <w:rFonts w:ascii="Times New Roman" w:cs="Times New Roman"/>
          <w:color w:val="000000" w:themeColor="text1"/>
          <w:szCs w:val="21"/>
          <w:shd w:val="clear" w:color="auto" w:fill="FFFFFF"/>
        </w:rPr>
        <w:t>普通物理学是物理学的基础部分，以物理学的基础知识为主要内容，是许多学科专业的基础理论课程。普通物理学的内容应包括力学、热学、电磁学、振动和波、光学、原子物理和原子核物理等几个部分。本大纲要求考试力学和电磁学两部分。要求考生正确理解这两部分的基本概念、原理、定律、定理和基本实验方法，并正确运用所学原理和定律等计算实际问题，判断结果的合理性。</w:t>
      </w:r>
    </w:p>
    <w:p>
      <w:pPr>
        <w:adjustRightInd w:val="0"/>
        <w:snapToGrid w:val="0"/>
        <w:spacing w:line="320" w:lineRule="exact"/>
        <w:rPr>
          <w:rFonts w:hint="eastAsia" w:ascii="Times New Roman" w:cs="Times New Roman"/>
          <w:b/>
          <w:bCs/>
          <w:color w:val="000000" w:themeColor="text1"/>
        </w:rPr>
      </w:pPr>
      <w:r>
        <w:rPr>
          <w:rFonts w:ascii="Times New Roman" w:cs="Times New Roman"/>
          <w:b/>
          <w:bCs/>
          <w:color w:val="000000" w:themeColor="text1"/>
        </w:rPr>
        <w:t>二、</w:t>
      </w:r>
      <w:r>
        <w:rPr>
          <w:rFonts w:hint="eastAsia" w:ascii="Times New Roman" w:cs="Times New Roman"/>
          <w:b/>
          <w:bCs/>
          <w:color w:val="000000" w:themeColor="text1"/>
        </w:rPr>
        <w:t>考试形式和试卷结构</w:t>
      </w:r>
    </w:p>
    <w:p>
      <w:pPr>
        <w:tabs>
          <w:tab w:val="right" w:leader="dot" w:pos="8306"/>
        </w:tabs>
        <w:adjustRightInd w:val="0"/>
        <w:snapToGrid w:val="0"/>
        <w:spacing w:line="320" w:lineRule="exact"/>
        <w:ind w:firstLine="315" w:firstLineChars="150"/>
      </w:pPr>
      <w:r>
        <w:t>1.</w:t>
      </w:r>
      <w:r>
        <w:rPr>
          <w:rFonts w:hint="eastAsia"/>
        </w:rPr>
        <w:t xml:space="preserve"> 试卷满分及考试时间</w:t>
      </w:r>
    </w:p>
    <w:p>
      <w:pPr>
        <w:tabs>
          <w:tab w:val="right" w:leader="dot" w:pos="8306"/>
        </w:tabs>
        <w:adjustRightInd w:val="0"/>
        <w:snapToGrid w:val="0"/>
        <w:spacing w:line="320" w:lineRule="exact"/>
        <w:ind w:firstLine="525" w:firstLineChars="250"/>
      </w:pPr>
      <w:r>
        <w:rPr>
          <w:rFonts w:hint="eastAsia"/>
        </w:rPr>
        <w:t>本试卷满分为</w:t>
      </w:r>
      <w:r>
        <w:t>1</w:t>
      </w:r>
      <w:r>
        <w:rPr>
          <w:rFonts w:hint="eastAsia"/>
        </w:rPr>
        <w:t>5</w:t>
      </w:r>
      <w:r>
        <w:t>0</w:t>
      </w:r>
      <w:r>
        <w:rPr>
          <w:rFonts w:hint="eastAsia"/>
        </w:rPr>
        <w:t>分，考试时间为180分钟</w:t>
      </w:r>
      <w:r>
        <w:t>.</w:t>
      </w:r>
    </w:p>
    <w:p>
      <w:pPr>
        <w:tabs>
          <w:tab w:val="right" w:leader="dot" w:pos="8306"/>
        </w:tabs>
        <w:adjustRightInd w:val="0"/>
        <w:snapToGrid w:val="0"/>
        <w:spacing w:line="320" w:lineRule="exact"/>
        <w:ind w:firstLine="315" w:firstLineChars="150"/>
      </w:pPr>
      <w:r>
        <w:t>2.</w:t>
      </w:r>
      <w:r>
        <w:rPr>
          <w:rFonts w:hint="eastAsia"/>
        </w:rPr>
        <w:t xml:space="preserve"> 答题方式：闭卷、笔试</w:t>
      </w:r>
      <w:r>
        <w:t>.</w:t>
      </w:r>
    </w:p>
    <w:p>
      <w:pPr>
        <w:tabs>
          <w:tab w:val="right" w:leader="dot" w:pos="8306"/>
        </w:tabs>
        <w:adjustRightInd w:val="0"/>
        <w:snapToGrid w:val="0"/>
        <w:spacing w:line="320" w:lineRule="exact"/>
        <w:ind w:firstLine="315" w:firstLineChars="150"/>
        <w:rPr>
          <w:rFonts w:hint="eastAsia"/>
        </w:rPr>
      </w:pPr>
      <w:r>
        <w:t>3.</w:t>
      </w:r>
      <w:r>
        <w:rPr>
          <w:rFonts w:hint="eastAsia"/>
        </w:rPr>
        <w:t xml:space="preserve"> 试卷题型结构</w:t>
      </w:r>
    </w:p>
    <w:p>
      <w:pPr>
        <w:tabs>
          <w:tab w:val="right" w:leader="dot" w:pos="8306"/>
        </w:tabs>
        <w:adjustRightInd w:val="0"/>
        <w:snapToGrid w:val="0"/>
        <w:spacing w:line="320" w:lineRule="exact"/>
        <w:ind w:firstLine="315" w:firstLineChars="150"/>
        <w:rPr>
          <w:rFonts w:hint="eastAsia" w:eastAsiaTheme="minorEastAsia"/>
          <w:lang w:val="en-US" w:eastAsia="zh-CN"/>
        </w:rPr>
      </w:pPr>
      <w:r>
        <w:rPr>
          <w:rFonts w:hint="eastAsia"/>
        </w:rPr>
        <w:t>（1）选择题：10小题，每小题4分，共计40分</w:t>
      </w:r>
      <w:r>
        <w:rPr>
          <w:rFonts w:hint="eastAsia"/>
          <w:lang w:val="en-US" w:eastAsia="zh-CN"/>
        </w:rPr>
        <w:t>.</w:t>
      </w:r>
    </w:p>
    <w:p>
      <w:pPr>
        <w:tabs>
          <w:tab w:val="right" w:leader="dot" w:pos="8306"/>
        </w:tabs>
        <w:adjustRightInd w:val="0"/>
        <w:snapToGrid w:val="0"/>
        <w:spacing w:line="320" w:lineRule="exact"/>
        <w:ind w:firstLine="315" w:firstLineChars="150"/>
        <w:rPr>
          <w:rFonts w:hint="eastAsia" w:eastAsiaTheme="minorEastAsia"/>
          <w:lang w:eastAsia="zh-CN"/>
        </w:rPr>
      </w:pPr>
      <w:r>
        <w:rPr>
          <w:rFonts w:hint="eastAsia"/>
        </w:rPr>
        <w:t>（2）填空题</w:t>
      </w:r>
      <w:r>
        <w:t>:</w:t>
      </w:r>
      <w:r>
        <w:rPr>
          <w:rFonts w:hint="eastAsia"/>
        </w:rPr>
        <w:t xml:space="preserve"> 每空2分，共计20分</w:t>
      </w:r>
      <w:r>
        <w:rPr>
          <w:rFonts w:hint="eastAsia"/>
          <w:lang w:eastAsia="zh-CN"/>
        </w:rPr>
        <w:t>。</w:t>
      </w:r>
    </w:p>
    <w:p>
      <w:pPr>
        <w:tabs>
          <w:tab w:val="right" w:leader="dot" w:pos="8306"/>
        </w:tabs>
        <w:adjustRightInd w:val="0"/>
        <w:snapToGrid w:val="0"/>
        <w:spacing w:line="320" w:lineRule="exact"/>
        <w:ind w:firstLine="315" w:firstLineChars="150"/>
        <w:rPr>
          <w:rFonts w:hint="eastAsia" w:eastAsiaTheme="minorEastAsia"/>
          <w:lang w:eastAsia="zh-CN"/>
        </w:rPr>
      </w:pPr>
      <w:r>
        <w:rPr>
          <w:rFonts w:hint="eastAsia"/>
        </w:rPr>
        <w:t>（3）简答题：3小题，每小题10分，共计30分</w:t>
      </w:r>
      <w:r>
        <w:rPr>
          <w:rFonts w:hint="eastAsia"/>
          <w:lang w:eastAsia="zh-CN"/>
        </w:rPr>
        <w:t>。</w:t>
      </w:r>
    </w:p>
    <w:p>
      <w:pPr>
        <w:tabs>
          <w:tab w:val="right" w:leader="dot" w:pos="8306"/>
        </w:tabs>
        <w:adjustRightInd w:val="0"/>
        <w:snapToGrid w:val="0"/>
        <w:spacing w:line="320" w:lineRule="exact"/>
        <w:ind w:firstLine="315" w:firstLineChars="150"/>
      </w:pPr>
      <w:r>
        <w:rPr>
          <w:rFonts w:hint="eastAsia"/>
        </w:rPr>
        <w:t>（4）计算题：</w:t>
      </w:r>
      <w:r>
        <w:rPr>
          <w:rFonts w:hint="eastAsia"/>
          <w:lang w:val="en-US" w:eastAsia="zh-CN"/>
        </w:rPr>
        <w:t>3</w:t>
      </w:r>
      <w:r>
        <w:rPr>
          <w:rFonts w:hint="eastAsia"/>
        </w:rPr>
        <w:t>小题，每小题</w:t>
      </w:r>
      <w:r>
        <w:rPr>
          <w:rFonts w:hint="eastAsia"/>
          <w:lang w:val="en-US" w:eastAsia="zh-CN"/>
        </w:rPr>
        <w:t>2</w:t>
      </w:r>
      <w:r>
        <w:rPr>
          <w:rFonts w:hint="eastAsia"/>
        </w:rPr>
        <w:t>0分，共计60分</w:t>
      </w:r>
      <w:r>
        <w:rPr>
          <w:rFonts w:hint="eastAsia"/>
          <w:lang w:eastAsia="zh-CN"/>
        </w:rPr>
        <w:t>。</w:t>
      </w:r>
      <w:r>
        <w:t xml:space="preserve"> </w:t>
      </w:r>
    </w:p>
    <w:p>
      <w:pPr>
        <w:widowControl/>
        <w:shd w:val="clear" w:color="auto" w:fill="FFFFFF"/>
        <w:adjustRightInd w:val="0"/>
        <w:snapToGrid w:val="0"/>
        <w:spacing w:line="320" w:lineRule="exact"/>
        <w:jc w:val="left"/>
        <w:rPr>
          <w:rFonts w:ascii="Times New Roman" w:hAnsi="Times New Roman" w:eastAsia="宋体" w:cs="Times New Roman"/>
          <w:b/>
          <w:bCs/>
          <w:color w:val="000000" w:themeColor="text1"/>
          <w:kern w:val="0"/>
          <w:szCs w:val="21"/>
        </w:rPr>
      </w:pPr>
      <w:r>
        <w:rPr>
          <w:rFonts w:ascii="Times New Roman" w:cs="Times New Roman"/>
          <w:b/>
          <w:bCs/>
          <w:color w:val="000000" w:themeColor="text1"/>
          <w:szCs w:val="21"/>
        </w:rPr>
        <w:t>三、考核内容</w:t>
      </w:r>
      <w:bookmarkStart w:id="0" w:name="_GoBack"/>
      <w:bookmarkEnd w:id="0"/>
    </w:p>
    <w:p>
      <w:pPr>
        <w:widowControl/>
        <w:shd w:val="clear" w:color="auto" w:fill="FFFFFF"/>
        <w:adjustRightInd w:val="0"/>
        <w:snapToGrid w:val="0"/>
        <w:spacing w:line="320" w:lineRule="exact"/>
        <w:jc w:val="left"/>
        <w:rPr>
          <w:rFonts w:ascii="Times New Roman" w:hAnsi="Times New Roman" w:eastAsia="宋体" w:cs="Times New Roman"/>
          <w:color w:val="000000" w:themeColor="text1"/>
          <w:kern w:val="0"/>
          <w:szCs w:val="21"/>
        </w:rPr>
      </w:pPr>
      <w:r>
        <w:rPr>
          <w:rFonts w:ascii="Times New Roman" w:hAnsi="宋体" w:eastAsia="宋体" w:cs="Times New Roman"/>
          <w:b/>
          <w:bCs/>
          <w:color w:val="000000" w:themeColor="text1"/>
          <w:kern w:val="0"/>
          <w:szCs w:val="21"/>
        </w:rPr>
        <w:t>（一）力学</w:t>
      </w:r>
    </w:p>
    <w:p>
      <w:pPr>
        <w:widowControl/>
        <w:shd w:val="clear" w:color="auto" w:fill="FFFFFF"/>
        <w:adjustRightInd w:val="0"/>
        <w:snapToGrid w:val="0"/>
        <w:spacing w:line="320" w:lineRule="exact"/>
        <w:jc w:val="left"/>
        <w:rPr>
          <w:rFonts w:ascii="Times New Roman" w:hAnsi="Times New Roman" w:eastAsia="宋体" w:cs="Times New Roman"/>
          <w:color w:val="000000" w:themeColor="text1"/>
          <w:kern w:val="0"/>
          <w:szCs w:val="21"/>
        </w:rPr>
      </w:pPr>
      <w:r>
        <w:rPr>
          <w:rFonts w:ascii="Times New Roman" w:hAnsi="宋体" w:eastAsia="宋体" w:cs="Times New Roman"/>
          <w:b/>
          <w:bCs/>
          <w:color w:val="000000" w:themeColor="text1"/>
          <w:kern w:val="0"/>
          <w:szCs w:val="21"/>
        </w:rPr>
        <w:t>　　</w:t>
      </w:r>
      <w:r>
        <w:rPr>
          <w:rFonts w:ascii="Times New Roman" w:hAnsi="Times New Roman" w:eastAsia="宋体" w:cs="Times New Roman"/>
          <w:color w:val="000000" w:themeColor="text1"/>
          <w:kern w:val="0"/>
          <w:szCs w:val="21"/>
        </w:rPr>
        <w:t>1</w:t>
      </w:r>
      <w:r>
        <w:rPr>
          <w:rFonts w:ascii="Times New Roman" w:hAnsi="宋体" w:eastAsia="宋体" w:cs="Times New Roman"/>
          <w:color w:val="000000" w:themeColor="text1"/>
          <w:kern w:val="0"/>
          <w:szCs w:val="21"/>
        </w:rPr>
        <w:t>．质点平面曲线运动的描述，位矢法、直角坐标法和自然坐标法。</w:t>
      </w:r>
      <w:r>
        <w:rPr>
          <w:rFonts w:ascii="Times New Roman" w:hAnsi="Times New Roman" w:eastAsia="宋体" w:cs="Times New Roman"/>
          <w:color w:val="000000" w:themeColor="text1"/>
          <w:kern w:val="0"/>
          <w:szCs w:val="21"/>
        </w:rPr>
        <w:t> </w:t>
      </w:r>
    </w:p>
    <w:p>
      <w:pPr>
        <w:widowControl/>
        <w:shd w:val="clear" w:color="auto" w:fill="FFFFFF"/>
        <w:adjustRightInd w:val="0"/>
        <w:snapToGrid w:val="0"/>
        <w:spacing w:line="320" w:lineRule="exact"/>
        <w:jc w:val="left"/>
        <w:rPr>
          <w:rFonts w:ascii="Times New Roman" w:hAnsi="Times New Roman" w:eastAsia="宋体" w:cs="Times New Roman"/>
          <w:color w:val="000000" w:themeColor="text1"/>
          <w:kern w:val="0"/>
          <w:szCs w:val="21"/>
        </w:rPr>
      </w:pPr>
      <w:r>
        <w:rPr>
          <w:rFonts w:ascii="Times New Roman" w:hAnsi="宋体" w:eastAsia="宋体" w:cs="Times New Roman"/>
          <w:color w:val="000000" w:themeColor="text1"/>
          <w:kern w:val="0"/>
          <w:szCs w:val="21"/>
        </w:rPr>
        <w:t>　　</w:t>
      </w:r>
      <w:r>
        <w:rPr>
          <w:rFonts w:ascii="Times New Roman" w:hAnsi="Times New Roman" w:eastAsia="宋体" w:cs="Times New Roman"/>
          <w:color w:val="000000" w:themeColor="text1"/>
          <w:kern w:val="0"/>
          <w:szCs w:val="21"/>
        </w:rPr>
        <w:t>2</w:t>
      </w:r>
      <w:r>
        <w:rPr>
          <w:rFonts w:ascii="Times New Roman" w:hAnsi="宋体" w:eastAsia="宋体" w:cs="Times New Roman"/>
          <w:color w:val="000000" w:themeColor="text1"/>
          <w:kern w:val="0"/>
          <w:szCs w:val="21"/>
        </w:rPr>
        <w:t>．牛顿运动三定律及其应用。</w:t>
      </w:r>
    </w:p>
    <w:p>
      <w:pPr>
        <w:widowControl/>
        <w:shd w:val="clear" w:color="auto" w:fill="FFFFFF"/>
        <w:adjustRightInd w:val="0"/>
        <w:snapToGrid w:val="0"/>
        <w:spacing w:line="320" w:lineRule="exact"/>
        <w:jc w:val="left"/>
        <w:rPr>
          <w:rFonts w:ascii="Times New Roman" w:hAnsi="Times New Roman" w:eastAsia="宋体" w:cs="Times New Roman"/>
          <w:color w:val="000000" w:themeColor="text1"/>
          <w:kern w:val="0"/>
          <w:szCs w:val="21"/>
        </w:rPr>
      </w:pPr>
      <w:r>
        <w:rPr>
          <w:rFonts w:ascii="Times New Roman" w:hAnsi="宋体" w:eastAsia="宋体" w:cs="Times New Roman"/>
          <w:color w:val="000000" w:themeColor="text1"/>
          <w:kern w:val="0"/>
          <w:szCs w:val="21"/>
        </w:rPr>
        <w:t>　　</w:t>
      </w:r>
      <w:r>
        <w:rPr>
          <w:rFonts w:ascii="Times New Roman" w:hAnsi="Times New Roman" w:eastAsia="宋体" w:cs="Times New Roman"/>
          <w:color w:val="000000" w:themeColor="text1"/>
          <w:kern w:val="0"/>
          <w:szCs w:val="21"/>
        </w:rPr>
        <w:t>3</w:t>
      </w:r>
      <w:r>
        <w:rPr>
          <w:rFonts w:ascii="Times New Roman" w:hAnsi="宋体" w:eastAsia="宋体" w:cs="Times New Roman"/>
          <w:color w:val="000000" w:themeColor="text1"/>
          <w:kern w:val="0"/>
          <w:szCs w:val="21"/>
        </w:rPr>
        <w:t>．质点作曲线运动过程中变力的功。保守力功的特点及势能概念。重力、弹性力和引力势能。质点的动能定理，质点系的动能定理、功能原理和机械能守恒定律。</w:t>
      </w:r>
    </w:p>
    <w:p>
      <w:pPr>
        <w:widowControl/>
        <w:shd w:val="clear" w:color="auto" w:fill="FFFFFF"/>
        <w:adjustRightInd w:val="0"/>
        <w:snapToGrid w:val="0"/>
        <w:spacing w:line="320" w:lineRule="exact"/>
        <w:jc w:val="left"/>
        <w:rPr>
          <w:rFonts w:ascii="Times New Roman" w:hAnsi="Times New Roman" w:eastAsia="宋体" w:cs="Times New Roman"/>
          <w:color w:val="000000" w:themeColor="text1"/>
          <w:kern w:val="0"/>
          <w:szCs w:val="21"/>
        </w:rPr>
      </w:pPr>
      <w:r>
        <w:rPr>
          <w:rFonts w:ascii="Times New Roman" w:hAnsi="宋体" w:eastAsia="宋体" w:cs="Times New Roman"/>
          <w:color w:val="000000" w:themeColor="text1"/>
          <w:kern w:val="0"/>
          <w:szCs w:val="21"/>
        </w:rPr>
        <w:t>　　</w:t>
      </w:r>
      <w:r>
        <w:rPr>
          <w:rFonts w:ascii="Times New Roman" w:hAnsi="Times New Roman" w:eastAsia="宋体" w:cs="Times New Roman"/>
          <w:color w:val="000000" w:themeColor="text1"/>
          <w:kern w:val="0"/>
          <w:szCs w:val="21"/>
        </w:rPr>
        <w:t>4</w:t>
      </w:r>
      <w:r>
        <w:rPr>
          <w:rFonts w:ascii="Times New Roman" w:hAnsi="宋体" w:eastAsia="宋体" w:cs="Times New Roman"/>
          <w:color w:val="000000" w:themeColor="text1"/>
          <w:kern w:val="0"/>
          <w:szCs w:val="21"/>
        </w:rPr>
        <w:t>．质点作曲线运动过程中变力的冲量。质点的动量定理、质点系的动量定理和动量守恒定律。</w:t>
      </w:r>
    </w:p>
    <w:p>
      <w:pPr>
        <w:widowControl/>
        <w:shd w:val="clear" w:color="auto" w:fill="FFFFFF"/>
        <w:adjustRightInd w:val="0"/>
        <w:snapToGrid w:val="0"/>
        <w:spacing w:line="320" w:lineRule="exact"/>
        <w:jc w:val="left"/>
        <w:rPr>
          <w:rFonts w:ascii="Times New Roman" w:hAnsi="Times New Roman" w:eastAsia="宋体" w:cs="Times New Roman"/>
          <w:color w:val="000000" w:themeColor="text1"/>
          <w:kern w:val="0"/>
          <w:szCs w:val="21"/>
        </w:rPr>
      </w:pPr>
      <w:r>
        <w:rPr>
          <w:rFonts w:ascii="Times New Roman" w:hAnsi="宋体" w:eastAsia="宋体" w:cs="Times New Roman"/>
          <w:color w:val="000000" w:themeColor="text1"/>
          <w:kern w:val="0"/>
          <w:szCs w:val="21"/>
        </w:rPr>
        <w:t>　　</w:t>
      </w:r>
      <w:r>
        <w:rPr>
          <w:rFonts w:ascii="Times New Roman" w:hAnsi="Times New Roman" w:eastAsia="宋体" w:cs="Times New Roman"/>
          <w:color w:val="000000" w:themeColor="text1"/>
          <w:kern w:val="0"/>
          <w:szCs w:val="21"/>
        </w:rPr>
        <w:t>5</w:t>
      </w:r>
      <w:r>
        <w:rPr>
          <w:rFonts w:ascii="Times New Roman" w:hAnsi="宋体" w:eastAsia="宋体" w:cs="Times New Roman"/>
          <w:color w:val="000000" w:themeColor="text1"/>
          <w:kern w:val="0"/>
          <w:szCs w:val="21"/>
        </w:rPr>
        <w:t>．刚体的定轴转动。转动惯量。转动定律和角动量守恒定律。</w:t>
      </w:r>
    </w:p>
    <w:p>
      <w:pPr>
        <w:widowControl/>
        <w:shd w:val="clear" w:color="auto" w:fill="FFFFFF"/>
        <w:adjustRightInd w:val="0"/>
        <w:snapToGrid w:val="0"/>
        <w:spacing w:line="320" w:lineRule="exact"/>
        <w:jc w:val="left"/>
        <w:rPr>
          <w:rFonts w:ascii="Times New Roman" w:hAnsi="Times New Roman" w:eastAsia="宋体" w:cs="Times New Roman"/>
          <w:color w:val="000000" w:themeColor="text1"/>
          <w:kern w:val="0"/>
          <w:szCs w:val="21"/>
        </w:rPr>
      </w:pPr>
      <w:r>
        <w:rPr>
          <w:rFonts w:ascii="Times New Roman" w:hAnsi="宋体" w:eastAsia="宋体" w:cs="Times New Roman"/>
          <w:b/>
          <w:bCs/>
          <w:color w:val="000000" w:themeColor="text1"/>
          <w:kern w:val="0"/>
          <w:szCs w:val="21"/>
        </w:rPr>
        <w:t>（二）电磁学</w:t>
      </w:r>
    </w:p>
    <w:p>
      <w:pPr>
        <w:widowControl/>
        <w:shd w:val="clear" w:color="auto" w:fill="FFFFFF"/>
        <w:adjustRightInd w:val="0"/>
        <w:snapToGrid w:val="0"/>
        <w:spacing w:line="320" w:lineRule="exact"/>
        <w:jc w:val="left"/>
        <w:rPr>
          <w:rFonts w:ascii="Times New Roman" w:hAnsi="Times New Roman" w:eastAsia="宋体" w:cs="Times New Roman"/>
          <w:color w:val="000000" w:themeColor="text1"/>
          <w:kern w:val="0"/>
          <w:szCs w:val="21"/>
        </w:rPr>
      </w:pPr>
      <w:r>
        <w:rPr>
          <w:rFonts w:ascii="Times New Roman" w:hAnsi="宋体" w:eastAsia="宋体" w:cs="Times New Roman"/>
          <w:b/>
          <w:bCs/>
          <w:color w:val="000000" w:themeColor="text1"/>
          <w:kern w:val="0"/>
          <w:szCs w:val="21"/>
        </w:rPr>
        <w:t>　　</w:t>
      </w:r>
      <w:r>
        <w:rPr>
          <w:rFonts w:ascii="Times New Roman" w:hAnsi="Times New Roman" w:eastAsia="宋体" w:cs="Times New Roman"/>
          <w:color w:val="000000" w:themeColor="text1"/>
          <w:kern w:val="0"/>
          <w:szCs w:val="21"/>
        </w:rPr>
        <w:t>1</w:t>
      </w:r>
      <w:r>
        <w:rPr>
          <w:rFonts w:ascii="Times New Roman" w:hAnsi="宋体" w:eastAsia="宋体" w:cs="Times New Roman"/>
          <w:color w:val="000000" w:themeColor="text1"/>
          <w:kern w:val="0"/>
          <w:szCs w:val="21"/>
        </w:rPr>
        <w:t>．静电场及其描述：电场强度和电势。电场和电势的叠加原理及应用。静电场的基本规律：高斯定理和环路定理。场强与电势梯度的关系。</w:t>
      </w:r>
    </w:p>
    <w:p>
      <w:pPr>
        <w:widowControl/>
        <w:shd w:val="clear" w:color="auto" w:fill="FFFFFF"/>
        <w:adjustRightInd w:val="0"/>
        <w:snapToGrid w:val="0"/>
        <w:spacing w:line="320" w:lineRule="exact"/>
        <w:jc w:val="left"/>
        <w:rPr>
          <w:rFonts w:ascii="Times New Roman" w:hAnsi="Times New Roman" w:eastAsia="宋体" w:cs="Times New Roman"/>
          <w:color w:val="000000" w:themeColor="text1"/>
          <w:kern w:val="0"/>
          <w:szCs w:val="21"/>
        </w:rPr>
      </w:pPr>
      <w:r>
        <w:rPr>
          <w:rFonts w:ascii="Times New Roman" w:hAnsi="宋体" w:eastAsia="宋体" w:cs="Times New Roman"/>
          <w:b/>
          <w:bCs/>
          <w:color w:val="000000" w:themeColor="text1"/>
          <w:kern w:val="0"/>
          <w:szCs w:val="21"/>
        </w:rPr>
        <w:t>　　</w:t>
      </w:r>
      <w:r>
        <w:rPr>
          <w:rFonts w:ascii="Times New Roman" w:hAnsi="Times New Roman" w:eastAsia="宋体" w:cs="Times New Roman"/>
          <w:color w:val="000000" w:themeColor="text1"/>
          <w:kern w:val="0"/>
          <w:szCs w:val="21"/>
        </w:rPr>
        <w:t>2</w:t>
      </w:r>
      <w:r>
        <w:rPr>
          <w:rFonts w:ascii="Times New Roman" w:hAnsi="宋体" w:eastAsia="宋体" w:cs="Times New Roman"/>
          <w:color w:val="000000" w:themeColor="text1"/>
          <w:kern w:val="0"/>
          <w:szCs w:val="21"/>
        </w:rPr>
        <w:t>．静电场中的导体和电介质。导体的静电平衡。电介质的极化及其微观解释。有电介质存在时的高斯定理。导体的电容和电容器。静电场能量。</w:t>
      </w:r>
    </w:p>
    <w:p>
      <w:pPr>
        <w:widowControl/>
        <w:shd w:val="clear" w:color="auto" w:fill="FFFFFF"/>
        <w:adjustRightInd w:val="0"/>
        <w:snapToGrid w:val="0"/>
        <w:spacing w:line="320" w:lineRule="exact"/>
        <w:jc w:val="left"/>
        <w:rPr>
          <w:rFonts w:ascii="Times New Roman" w:hAnsi="Times New Roman" w:eastAsia="宋体" w:cs="Times New Roman"/>
          <w:color w:val="000000" w:themeColor="text1"/>
          <w:kern w:val="0"/>
          <w:szCs w:val="21"/>
        </w:rPr>
      </w:pPr>
      <w:r>
        <w:rPr>
          <w:rFonts w:ascii="Times New Roman" w:hAnsi="宋体" w:eastAsia="宋体" w:cs="Times New Roman"/>
          <w:b/>
          <w:bCs/>
          <w:color w:val="000000" w:themeColor="text1"/>
          <w:kern w:val="0"/>
          <w:szCs w:val="21"/>
        </w:rPr>
        <w:t>　　</w:t>
      </w:r>
      <w:r>
        <w:rPr>
          <w:rFonts w:ascii="Times New Roman" w:hAnsi="Times New Roman" w:eastAsia="宋体" w:cs="Times New Roman"/>
          <w:color w:val="000000" w:themeColor="text1"/>
          <w:kern w:val="0"/>
          <w:szCs w:val="21"/>
        </w:rPr>
        <w:t>3</w:t>
      </w:r>
      <w:r>
        <w:rPr>
          <w:rFonts w:ascii="Times New Roman" w:hAnsi="宋体" w:eastAsia="宋体" w:cs="Times New Roman"/>
          <w:color w:val="000000" w:themeColor="text1"/>
          <w:kern w:val="0"/>
          <w:szCs w:val="21"/>
        </w:rPr>
        <w:t>．稳恒磁场及其描述。磁感应强度。毕奥—萨伐尔定律。稳恒磁场的基本规律：磁场的高斯定理和安培环路定理。</w:t>
      </w:r>
    </w:p>
    <w:p>
      <w:pPr>
        <w:widowControl/>
        <w:shd w:val="clear" w:color="auto" w:fill="FFFFFF"/>
        <w:adjustRightInd w:val="0"/>
        <w:snapToGrid w:val="0"/>
        <w:spacing w:line="320" w:lineRule="exact"/>
        <w:jc w:val="left"/>
        <w:rPr>
          <w:rFonts w:ascii="Times New Roman" w:hAnsi="Times New Roman" w:eastAsia="宋体" w:cs="Times New Roman"/>
          <w:color w:val="000000" w:themeColor="text1"/>
          <w:kern w:val="0"/>
          <w:szCs w:val="21"/>
        </w:rPr>
      </w:pPr>
      <w:r>
        <w:rPr>
          <w:rFonts w:ascii="Times New Roman" w:hAnsi="宋体" w:eastAsia="宋体" w:cs="Times New Roman"/>
          <w:b/>
          <w:bCs/>
          <w:color w:val="000000" w:themeColor="text1"/>
          <w:kern w:val="0"/>
          <w:szCs w:val="21"/>
        </w:rPr>
        <w:t>　　</w:t>
      </w:r>
      <w:r>
        <w:rPr>
          <w:rFonts w:ascii="Times New Roman" w:hAnsi="Times New Roman" w:eastAsia="宋体" w:cs="Times New Roman"/>
          <w:color w:val="000000" w:themeColor="text1"/>
          <w:kern w:val="0"/>
          <w:szCs w:val="21"/>
        </w:rPr>
        <w:t>4</w:t>
      </w:r>
      <w:r>
        <w:rPr>
          <w:rFonts w:ascii="Times New Roman" w:hAnsi="宋体" w:eastAsia="宋体" w:cs="Times New Roman"/>
          <w:color w:val="000000" w:themeColor="text1"/>
          <w:kern w:val="0"/>
          <w:szCs w:val="21"/>
        </w:rPr>
        <w:t>．磁场对载流导线和运动电荷的作用。</w:t>
      </w:r>
    </w:p>
    <w:p>
      <w:pPr>
        <w:widowControl/>
        <w:shd w:val="clear" w:color="auto" w:fill="FFFFFF"/>
        <w:adjustRightInd w:val="0"/>
        <w:snapToGrid w:val="0"/>
        <w:spacing w:line="320" w:lineRule="exact"/>
        <w:jc w:val="left"/>
        <w:rPr>
          <w:rFonts w:ascii="Times New Roman" w:hAnsi="Times New Roman" w:eastAsia="宋体" w:cs="Times New Roman"/>
          <w:color w:val="000000" w:themeColor="text1"/>
          <w:kern w:val="0"/>
          <w:szCs w:val="21"/>
        </w:rPr>
      </w:pPr>
      <w:r>
        <w:rPr>
          <w:rFonts w:ascii="Times New Roman" w:hAnsi="宋体" w:eastAsia="宋体" w:cs="Times New Roman"/>
          <w:color w:val="000000" w:themeColor="text1"/>
          <w:kern w:val="0"/>
          <w:szCs w:val="21"/>
        </w:rPr>
        <w:t>　　</w:t>
      </w:r>
      <w:r>
        <w:rPr>
          <w:rFonts w:ascii="Times New Roman" w:hAnsi="Times New Roman" w:eastAsia="宋体" w:cs="Times New Roman"/>
          <w:color w:val="000000" w:themeColor="text1"/>
          <w:kern w:val="0"/>
          <w:szCs w:val="21"/>
        </w:rPr>
        <w:t>5</w:t>
      </w:r>
      <w:r>
        <w:rPr>
          <w:rFonts w:ascii="Times New Roman" w:hAnsi="宋体" w:eastAsia="宋体" w:cs="Times New Roman"/>
          <w:color w:val="000000" w:themeColor="text1"/>
          <w:kern w:val="0"/>
          <w:szCs w:val="21"/>
        </w:rPr>
        <w:t>．磁介质的磁化及其微观解释。</w:t>
      </w:r>
    </w:p>
    <w:p>
      <w:pPr>
        <w:widowControl/>
        <w:shd w:val="clear" w:color="auto" w:fill="FFFFFF"/>
        <w:adjustRightInd w:val="0"/>
        <w:snapToGrid w:val="0"/>
        <w:spacing w:line="320" w:lineRule="exact"/>
        <w:jc w:val="left"/>
        <w:rPr>
          <w:rFonts w:ascii="Times New Roman" w:hAnsi="Times New Roman" w:eastAsia="宋体" w:cs="Times New Roman"/>
          <w:color w:val="000000" w:themeColor="text1"/>
          <w:kern w:val="0"/>
          <w:szCs w:val="21"/>
        </w:rPr>
      </w:pPr>
      <w:r>
        <w:rPr>
          <w:rFonts w:ascii="Times New Roman" w:hAnsi="宋体" w:eastAsia="宋体" w:cs="Times New Roman"/>
          <w:color w:val="000000" w:themeColor="text1"/>
          <w:kern w:val="0"/>
          <w:szCs w:val="21"/>
        </w:rPr>
        <w:t>　　</w:t>
      </w:r>
      <w:r>
        <w:rPr>
          <w:rFonts w:ascii="Times New Roman" w:hAnsi="Times New Roman" w:eastAsia="宋体" w:cs="Times New Roman"/>
          <w:color w:val="000000" w:themeColor="text1"/>
          <w:kern w:val="0"/>
          <w:szCs w:val="21"/>
        </w:rPr>
        <w:t>6</w:t>
      </w:r>
      <w:r>
        <w:rPr>
          <w:rFonts w:ascii="Times New Roman" w:hAnsi="宋体" w:eastAsia="宋体" w:cs="Times New Roman"/>
          <w:color w:val="000000" w:themeColor="text1"/>
          <w:kern w:val="0"/>
          <w:szCs w:val="21"/>
        </w:rPr>
        <w:t>．电动势。法拉第电磁感应定律。动生电动势和感生电动势。</w:t>
      </w:r>
    </w:p>
    <w:p>
      <w:pPr>
        <w:widowControl/>
        <w:shd w:val="clear" w:color="auto" w:fill="FFFFFF"/>
        <w:adjustRightInd w:val="0"/>
        <w:snapToGrid w:val="0"/>
        <w:spacing w:line="320" w:lineRule="exact"/>
        <w:jc w:val="left"/>
        <w:rPr>
          <w:rFonts w:ascii="Times New Roman" w:hAnsi="Times New Roman" w:cs="Times New Roman"/>
          <w:color w:val="000000" w:themeColor="text1"/>
          <w:szCs w:val="21"/>
        </w:rPr>
      </w:pPr>
      <w:r>
        <w:rPr>
          <w:rFonts w:hint="eastAsia" w:ascii="Times New Roman" w:hAnsi="宋体" w:eastAsia="宋体" w:cs="Times New Roman"/>
          <w:b/>
          <w:bCs/>
          <w:color w:val="000000" w:themeColor="text1"/>
          <w:kern w:val="0"/>
          <w:szCs w:val="21"/>
        </w:rPr>
        <w:t>四</w:t>
      </w:r>
      <w:r>
        <w:rPr>
          <w:rFonts w:ascii="Times New Roman" w:cs="Times New Roman"/>
          <w:b/>
          <w:bCs/>
          <w:color w:val="000000" w:themeColor="text1"/>
          <w:szCs w:val="21"/>
        </w:rPr>
        <w:t>、参考书目　</w:t>
      </w:r>
      <w:r>
        <w:rPr>
          <w:rFonts w:ascii="Times New Roman" w:cs="Times New Roman"/>
          <w:color w:val="000000" w:themeColor="text1"/>
          <w:szCs w:val="21"/>
        </w:rPr>
        <w:t>　</w:t>
      </w:r>
    </w:p>
    <w:p>
      <w:pPr>
        <w:adjustRightInd w:val="0"/>
        <w:snapToGrid w:val="0"/>
        <w:spacing w:line="320" w:lineRule="exact"/>
        <w:ind w:firstLine="105" w:firstLineChars="50"/>
        <w:rPr>
          <w:rFonts w:ascii="Times New Roman" w:hAnsi="Times New Roman" w:cs="Times New Roman"/>
          <w:color w:val="000000" w:themeColor="text1"/>
          <w:szCs w:val="21"/>
        </w:rPr>
      </w:pPr>
      <w:r>
        <w:rPr>
          <w:rFonts w:ascii="Times New Roman" w:cs="Times New Roman"/>
          <w:color w:val="000000" w:themeColor="text1"/>
          <w:szCs w:val="21"/>
        </w:rPr>
        <w:t>《</w:t>
      </w:r>
      <w:r>
        <w:rPr>
          <w:rFonts w:ascii="Times New Roman" w:hAnsi="Helvetica" w:cs="Times New Roman"/>
          <w:color w:val="000000" w:themeColor="text1"/>
          <w:szCs w:val="21"/>
          <w:shd w:val="clear" w:color="auto" w:fill="FFFFFF"/>
        </w:rPr>
        <w:t>普通物理学（上册）</w:t>
      </w:r>
      <w:r>
        <w:rPr>
          <w:rFonts w:ascii="Times New Roman" w:cs="Times New Roman"/>
          <w:color w:val="000000" w:themeColor="text1"/>
          <w:szCs w:val="21"/>
        </w:rPr>
        <w:t>》</w:t>
      </w:r>
      <w:r>
        <w:rPr>
          <w:rFonts w:ascii="Times New Roman" w:hAnsi="Helvetica" w:cs="Times New Roman"/>
          <w:color w:val="000000" w:themeColor="text1"/>
          <w:szCs w:val="21"/>
          <w:shd w:val="clear" w:color="auto" w:fill="FFFFFF"/>
        </w:rPr>
        <w:t>第</w:t>
      </w:r>
      <w:r>
        <w:rPr>
          <w:rFonts w:hint="eastAsia" w:ascii="Times New Roman" w:hAnsi="Helvetica" w:cs="Times New Roman"/>
          <w:color w:val="000000" w:themeColor="text1"/>
          <w:szCs w:val="21"/>
          <w:shd w:val="clear" w:color="auto" w:fill="FFFFFF"/>
        </w:rPr>
        <w:t>7</w:t>
      </w:r>
      <w:r>
        <w:rPr>
          <w:rFonts w:ascii="Times New Roman" w:hAnsi="Helvetica" w:cs="Times New Roman"/>
          <w:color w:val="000000" w:themeColor="text1"/>
          <w:szCs w:val="21"/>
          <w:shd w:val="clear" w:color="auto" w:fill="FFFFFF"/>
        </w:rPr>
        <w:t>版</w:t>
      </w:r>
      <w:r>
        <w:rPr>
          <w:rFonts w:ascii="Times New Roman" w:cs="Times New Roman"/>
          <w:color w:val="000000" w:themeColor="text1"/>
          <w:szCs w:val="21"/>
        </w:rPr>
        <w:t>，</w:t>
      </w:r>
      <w:r>
        <w:rPr>
          <w:rFonts w:ascii="Times New Roman" w:hAnsi="Helvetica" w:cs="Times New Roman"/>
          <w:color w:val="000000" w:themeColor="text1"/>
          <w:szCs w:val="21"/>
          <w:shd w:val="clear" w:color="auto" w:fill="FFFFFF"/>
        </w:rPr>
        <w:t>程守洙、江之永</w:t>
      </w:r>
      <w:r>
        <w:rPr>
          <w:rFonts w:ascii="Times New Roman" w:cs="Times New Roman"/>
          <w:color w:val="000000" w:themeColor="text1"/>
          <w:szCs w:val="21"/>
        </w:rPr>
        <w:t>主编，高等教育出版社。　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Helvetica">
    <w:altName w:val="Arial"/>
    <w:panose1 w:val="020B0504020202020204"/>
    <w:charset w:val="00"/>
    <w:family w:val="swiss"/>
    <w:pitch w:val="default"/>
    <w:sig w:usb0="00000000" w:usb1="00000000" w:usb2="00000000" w:usb3="00000000" w:csb0="0000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DD3475"/>
    <w:rsid w:val="000C7B33"/>
    <w:rsid w:val="000E1B2F"/>
    <w:rsid w:val="001E1AA8"/>
    <w:rsid w:val="00242F44"/>
    <w:rsid w:val="002752DE"/>
    <w:rsid w:val="002805E5"/>
    <w:rsid w:val="00417477"/>
    <w:rsid w:val="00457222"/>
    <w:rsid w:val="0050600F"/>
    <w:rsid w:val="00560EE2"/>
    <w:rsid w:val="00633490"/>
    <w:rsid w:val="006D6C7B"/>
    <w:rsid w:val="007102B4"/>
    <w:rsid w:val="00797204"/>
    <w:rsid w:val="00831323"/>
    <w:rsid w:val="00845703"/>
    <w:rsid w:val="00996331"/>
    <w:rsid w:val="00A03D2C"/>
    <w:rsid w:val="00A26F78"/>
    <w:rsid w:val="00AA2DE2"/>
    <w:rsid w:val="00AE2A29"/>
    <w:rsid w:val="00B45235"/>
    <w:rsid w:val="00B545E5"/>
    <w:rsid w:val="00BD2EF4"/>
    <w:rsid w:val="00C3738F"/>
    <w:rsid w:val="00CF141D"/>
    <w:rsid w:val="00D124F4"/>
    <w:rsid w:val="00DD3475"/>
    <w:rsid w:val="00F01373"/>
    <w:rsid w:val="00F84FE0"/>
    <w:rsid w:val="0EED5A07"/>
    <w:rsid w:val="193B144B"/>
    <w:rsid w:val="200C5F06"/>
    <w:rsid w:val="3A165EFF"/>
    <w:rsid w:val="3B716B62"/>
    <w:rsid w:val="3BE72676"/>
    <w:rsid w:val="3CC42705"/>
    <w:rsid w:val="3FCB4FEB"/>
    <w:rsid w:val="4A9F491A"/>
    <w:rsid w:val="75AC19EA"/>
    <w:rsid w:val="79912CDA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Hyperlink"/>
    <w:basedOn w:val="5"/>
    <w:unhideWhenUsed/>
    <w:qFormat/>
    <w:uiPriority w:val="99"/>
    <w:rPr>
      <w:color w:val="0000FF"/>
      <w:u w:val="single"/>
    </w:rPr>
  </w:style>
  <w:style w:type="character" w:customStyle="1" w:styleId="7">
    <w:name w:val="页眉 Char"/>
    <w:basedOn w:val="5"/>
    <w:link w:val="3"/>
    <w:semiHidden/>
    <w:qFormat/>
    <w:uiPriority w:val="99"/>
    <w:rPr>
      <w:kern w:val="2"/>
      <w:sz w:val="18"/>
      <w:szCs w:val="18"/>
    </w:rPr>
  </w:style>
  <w:style w:type="character" w:customStyle="1" w:styleId="8">
    <w:name w:val="页脚 Char"/>
    <w:basedOn w:val="5"/>
    <w:link w:val="2"/>
    <w:semiHidden/>
    <w:qFormat/>
    <w:uiPriority w:val="99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</Pages>
  <Words>137</Words>
  <Characters>781</Characters>
  <Lines>6</Lines>
  <Paragraphs>1</Paragraphs>
  <TotalTime>1</TotalTime>
  <ScaleCrop>false</ScaleCrop>
  <LinksUpToDate>false</LinksUpToDate>
  <CharactersWithSpaces>917</CharactersWithSpaces>
  <Application>WPS Office_11.1.0.8986_F1E327BC-269C-435d-A152-05C5408002CA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2019-09-25T04:04:00Z</dcterms:created>
  <dc:creator>朱晓熠</dc:creator>
  <cp:lastModifiedBy>渠丹丹</cp:lastModifiedBy>
  <cp:lastPrinted>2019-09-27T01:36:24Z</cp:lastPrinted>
  <dcterms:modified xsi:type="dcterms:W3CDTF">2019-09-27T01:37:08Z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2052-11.1.0.8986</vt:lpwstr>
  </property>
</Properties>
</file>