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B4" w:rsidRDefault="00157CF8" w:rsidP="00157CF8">
      <w:pPr>
        <w:spacing w:line="360" w:lineRule="auto"/>
        <w:ind w:firstLineChars="202" w:firstLine="649"/>
        <w:jc w:val="center"/>
        <w:outlineLvl w:val="0"/>
        <w:rPr>
          <w:rFonts w:ascii="Helvetica" w:hAnsi="Helvetica" w:cs="Helvetica"/>
          <w:b/>
          <w:color w:val="333333"/>
          <w:sz w:val="32"/>
          <w:szCs w:val="32"/>
        </w:rPr>
      </w:pPr>
      <w:r>
        <w:rPr>
          <w:rFonts w:ascii="Helvetica" w:hAnsi="Helvetica" w:cs="Helvetica" w:hint="eastAsia"/>
          <w:b/>
          <w:color w:val="333333"/>
          <w:sz w:val="32"/>
          <w:szCs w:val="32"/>
        </w:rPr>
        <w:t>四川农业大学</w:t>
      </w:r>
    </w:p>
    <w:p w:rsidR="00157CF8" w:rsidRPr="00157CF8" w:rsidRDefault="00157CF8" w:rsidP="00157CF8">
      <w:pPr>
        <w:spacing w:line="360" w:lineRule="auto"/>
        <w:ind w:firstLineChars="202" w:firstLine="649"/>
        <w:jc w:val="center"/>
        <w:outlineLvl w:val="0"/>
        <w:rPr>
          <w:rFonts w:ascii="Helvetica" w:hAnsi="Helvetica" w:cs="Helvetica"/>
          <w:b/>
          <w:color w:val="333333"/>
          <w:sz w:val="32"/>
          <w:szCs w:val="32"/>
        </w:rPr>
      </w:pPr>
      <w:r w:rsidRPr="00157CF8">
        <w:rPr>
          <w:rFonts w:ascii="Helvetica" w:hAnsi="Helvetica" w:cs="Helvetica" w:hint="eastAsia"/>
          <w:b/>
          <w:color w:val="333333"/>
          <w:sz w:val="32"/>
          <w:szCs w:val="32"/>
        </w:rPr>
        <w:t>2017</w:t>
      </w:r>
      <w:r w:rsidRPr="00157CF8">
        <w:rPr>
          <w:rFonts w:ascii="Helvetica" w:hAnsi="Helvetica" w:cs="Helvetica" w:hint="eastAsia"/>
          <w:b/>
          <w:color w:val="333333"/>
          <w:sz w:val="32"/>
          <w:szCs w:val="32"/>
        </w:rPr>
        <w:t>年硕士研究生招生</w:t>
      </w:r>
      <w:r w:rsidR="0055684E">
        <w:rPr>
          <w:rFonts w:ascii="Helvetica" w:hAnsi="Helvetica" w:cs="Helvetica" w:hint="eastAsia"/>
          <w:b/>
          <w:color w:val="333333"/>
          <w:sz w:val="32"/>
          <w:szCs w:val="32"/>
        </w:rPr>
        <w:t>章程</w:t>
      </w:r>
    </w:p>
    <w:p w:rsidR="00907242" w:rsidRPr="00AB4A74" w:rsidRDefault="00907242" w:rsidP="008814D2">
      <w:pPr>
        <w:spacing w:line="360" w:lineRule="auto"/>
        <w:outlineLvl w:val="0"/>
        <w:rPr>
          <w:rFonts w:ascii="Helvetica" w:hAnsi="Helvetica" w:cs="Helvetica"/>
          <w:b/>
          <w:color w:val="333333"/>
          <w:szCs w:val="21"/>
        </w:rPr>
      </w:pPr>
      <w:r w:rsidRPr="00AB4A74">
        <w:rPr>
          <w:rFonts w:ascii="Helvetica" w:hAnsi="Helvetica" w:cs="Helvetica"/>
          <w:b/>
          <w:color w:val="333333"/>
          <w:szCs w:val="21"/>
        </w:rPr>
        <w:t>一、</w:t>
      </w:r>
      <w:r w:rsidR="00F257B9" w:rsidRPr="00AB4A74">
        <w:rPr>
          <w:rFonts w:ascii="Helvetica" w:hAnsi="Helvetica" w:cs="Helvetica"/>
          <w:b/>
          <w:color w:val="333333"/>
          <w:szCs w:val="21"/>
        </w:rPr>
        <w:t>四川农业大学</w:t>
      </w:r>
      <w:r w:rsidRPr="00AB4A74">
        <w:rPr>
          <w:rFonts w:ascii="Helvetica" w:hAnsi="Helvetica" w:cs="Helvetica"/>
          <w:b/>
          <w:color w:val="333333"/>
          <w:szCs w:val="21"/>
        </w:rPr>
        <w:t>简介</w:t>
      </w:r>
    </w:p>
    <w:p w:rsidR="00742B6E" w:rsidRDefault="0027038D" w:rsidP="00157CF8">
      <w:pPr>
        <w:spacing w:line="360" w:lineRule="auto"/>
        <w:ind w:firstLineChars="202" w:firstLine="424"/>
        <w:rPr>
          <w:rFonts w:ascii="Helvetica" w:hAnsi="Helvetica" w:cs="Helvetica"/>
          <w:color w:val="333333"/>
          <w:szCs w:val="21"/>
        </w:rPr>
      </w:pPr>
      <w:r>
        <w:rPr>
          <w:rFonts w:ascii="Helvetica" w:hAnsi="Helvetica" w:cs="Helvetica"/>
          <w:color w:val="333333"/>
          <w:szCs w:val="21"/>
        </w:rPr>
        <w:t>四川农业大学是一所以生物科技为特色，农业科技为优势，多学科协调发展的国家</w:t>
      </w:r>
      <w:r>
        <w:rPr>
          <w:rFonts w:ascii="Helvetica" w:hAnsi="Helvetica" w:cs="Helvetica"/>
          <w:color w:val="333333"/>
          <w:szCs w:val="21"/>
        </w:rPr>
        <w:t>“211</w:t>
      </w:r>
      <w:r>
        <w:rPr>
          <w:rFonts w:ascii="Helvetica" w:hAnsi="Helvetica" w:cs="Helvetica"/>
          <w:color w:val="333333"/>
          <w:szCs w:val="21"/>
        </w:rPr>
        <w:t>工程</w:t>
      </w:r>
      <w:r>
        <w:rPr>
          <w:rFonts w:ascii="Helvetica" w:hAnsi="Helvetica" w:cs="Helvetica"/>
          <w:color w:val="333333"/>
          <w:szCs w:val="21"/>
        </w:rPr>
        <w:t>”</w:t>
      </w:r>
      <w:r>
        <w:rPr>
          <w:rFonts w:ascii="Helvetica" w:hAnsi="Helvetica" w:cs="Helvetica"/>
          <w:color w:val="333333"/>
          <w:szCs w:val="21"/>
        </w:rPr>
        <w:t>重点建设大学，也是教育部本科教学工作水平评估优秀高校</w:t>
      </w:r>
      <w:r>
        <w:rPr>
          <w:rFonts w:ascii="Helvetica" w:hAnsi="Helvetica" w:cs="Helvetica" w:hint="eastAsia"/>
          <w:color w:val="333333"/>
          <w:szCs w:val="21"/>
        </w:rPr>
        <w:t>。</w:t>
      </w:r>
    </w:p>
    <w:p w:rsidR="0027038D" w:rsidRDefault="0027038D" w:rsidP="00157CF8">
      <w:pPr>
        <w:spacing w:line="360" w:lineRule="auto"/>
        <w:ind w:firstLineChars="202" w:firstLine="426"/>
        <w:rPr>
          <w:rFonts w:ascii="Helvetica" w:hAnsi="Helvetica" w:cs="Helvetica"/>
          <w:color w:val="333333"/>
          <w:szCs w:val="21"/>
        </w:rPr>
      </w:pPr>
      <w:r>
        <w:rPr>
          <w:rFonts w:ascii="Helvetica" w:hAnsi="Helvetica" w:cs="Helvetica"/>
          <w:b/>
          <w:bCs/>
          <w:color w:val="333333"/>
          <w:szCs w:val="21"/>
        </w:rPr>
        <w:t>办学历史悠久、资源丰富。</w:t>
      </w:r>
      <w:r w:rsidR="00A73133" w:rsidRPr="00A73133">
        <w:rPr>
          <w:rFonts w:ascii="Helvetica" w:hAnsi="Helvetica" w:cs="Helvetica"/>
          <w:color w:val="333333"/>
          <w:szCs w:val="21"/>
        </w:rPr>
        <w:t>学校</w:t>
      </w:r>
      <w:r>
        <w:rPr>
          <w:rFonts w:ascii="Helvetica" w:hAnsi="Helvetica" w:cs="Helvetica"/>
          <w:color w:val="333333"/>
          <w:szCs w:val="21"/>
        </w:rPr>
        <w:t>前身是</w:t>
      </w:r>
      <w:r>
        <w:rPr>
          <w:rFonts w:ascii="Helvetica" w:hAnsi="Helvetica" w:cs="Helvetica"/>
          <w:color w:val="333333"/>
          <w:szCs w:val="21"/>
        </w:rPr>
        <w:t>1906</w:t>
      </w:r>
      <w:r>
        <w:rPr>
          <w:rFonts w:ascii="Helvetica" w:hAnsi="Helvetica" w:cs="Helvetica"/>
          <w:color w:val="333333"/>
          <w:szCs w:val="21"/>
        </w:rPr>
        <w:t>年创办的四川通省农业学堂，</w:t>
      </w:r>
      <w:r w:rsidR="00504001">
        <w:rPr>
          <w:rFonts w:ascii="Helvetica" w:hAnsi="Helvetica" w:cs="Helvetica" w:hint="eastAsia"/>
          <w:color w:val="333333"/>
          <w:szCs w:val="21"/>
        </w:rPr>
        <w:t>期间</w:t>
      </w:r>
      <w:r w:rsidR="00504001">
        <w:rPr>
          <w:rFonts w:ascii="Helvetica" w:hAnsi="Helvetica" w:cs="Helvetica"/>
          <w:color w:val="333333"/>
          <w:szCs w:val="21"/>
        </w:rPr>
        <w:t>经历多个历史时期变革在</w:t>
      </w:r>
      <w:r>
        <w:rPr>
          <w:rFonts w:ascii="Helvetica" w:hAnsi="Helvetica" w:cs="Helvetica"/>
          <w:color w:val="333333"/>
          <w:szCs w:val="21"/>
        </w:rPr>
        <w:t>1985</w:t>
      </w:r>
      <w:r>
        <w:rPr>
          <w:rFonts w:ascii="Helvetica" w:hAnsi="Helvetica" w:cs="Helvetica"/>
          <w:color w:val="333333"/>
          <w:szCs w:val="21"/>
        </w:rPr>
        <w:t>年更名为四川农业大学。学校现有雅安、成都和都江堰</w:t>
      </w:r>
      <w:r>
        <w:rPr>
          <w:rFonts w:ascii="Helvetica" w:hAnsi="Helvetica" w:cs="Helvetica"/>
          <w:color w:val="333333"/>
          <w:szCs w:val="21"/>
        </w:rPr>
        <w:t>3</w:t>
      </w:r>
      <w:r>
        <w:rPr>
          <w:rFonts w:ascii="Helvetica" w:hAnsi="Helvetica" w:cs="Helvetica"/>
          <w:color w:val="333333"/>
          <w:szCs w:val="21"/>
        </w:rPr>
        <w:t>个校区，占地总面积约</w:t>
      </w:r>
      <w:r>
        <w:rPr>
          <w:rFonts w:ascii="Helvetica" w:hAnsi="Helvetica" w:cs="Helvetica"/>
          <w:color w:val="333333"/>
          <w:szCs w:val="21"/>
        </w:rPr>
        <w:t>4500</w:t>
      </w:r>
      <w:r>
        <w:rPr>
          <w:rFonts w:ascii="Helvetica" w:hAnsi="Helvetica" w:cs="Helvetica"/>
          <w:color w:val="333333"/>
          <w:szCs w:val="21"/>
        </w:rPr>
        <w:t>亩，馆藏文献资源</w:t>
      </w:r>
      <w:r>
        <w:rPr>
          <w:rFonts w:ascii="Helvetica" w:hAnsi="Helvetica" w:cs="Helvetica"/>
          <w:color w:val="333333"/>
          <w:szCs w:val="21"/>
        </w:rPr>
        <w:t>625</w:t>
      </w:r>
      <w:r>
        <w:rPr>
          <w:rFonts w:ascii="Helvetica" w:hAnsi="Helvetica" w:cs="Helvetica"/>
          <w:color w:val="333333"/>
          <w:szCs w:val="21"/>
        </w:rPr>
        <w:t>万册</w:t>
      </w:r>
      <w:r>
        <w:rPr>
          <w:rFonts w:ascii="Helvetica" w:hAnsi="Helvetica" w:cs="Helvetica"/>
          <w:color w:val="333333"/>
          <w:szCs w:val="21"/>
        </w:rPr>
        <w:t>(</w:t>
      </w:r>
      <w:r>
        <w:rPr>
          <w:rFonts w:ascii="Helvetica" w:hAnsi="Helvetica" w:cs="Helvetica"/>
          <w:color w:val="333333"/>
          <w:szCs w:val="21"/>
        </w:rPr>
        <w:t>件</w:t>
      </w:r>
      <w:r>
        <w:rPr>
          <w:rFonts w:ascii="Helvetica" w:hAnsi="Helvetica" w:cs="Helvetica"/>
          <w:color w:val="333333"/>
          <w:szCs w:val="21"/>
        </w:rPr>
        <w:t>)</w:t>
      </w:r>
      <w:r>
        <w:rPr>
          <w:rFonts w:ascii="Helvetica" w:hAnsi="Helvetica" w:cs="Helvetica"/>
          <w:color w:val="333333"/>
          <w:szCs w:val="21"/>
        </w:rPr>
        <w:t>。</w:t>
      </w:r>
    </w:p>
    <w:p w:rsidR="0027038D" w:rsidRDefault="0027038D" w:rsidP="00157CF8">
      <w:pPr>
        <w:pStyle w:val="a3"/>
        <w:shd w:val="clear" w:color="auto" w:fill="FFFFFF"/>
        <w:spacing w:line="360" w:lineRule="auto"/>
        <w:ind w:firstLineChars="202" w:firstLine="426"/>
        <w:rPr>
          <w:rFonts w:ascii="Helvetica" w:hAnsi="Helvetica" w:cs="Helvetica"/>
          <w:color w:val="333333"/>
          <w:sz w:val="21"/>
          <w:szCs w:val="21"/>
        </w:rPr>
      </w:pPr>
      <w:r>
        <w:rPr>
          <w:rFonts w:ascii="Helvetica" w:hAnsi="Helvetica" w:cs="Helvetica"/>
          <w:b/>
          <w:bCs/>
          <w:color w:val="333333"/>
          <w:sz w:val="21"/>
          <w:szCs w:val="21"/>
        </w:rPr>
        <w:t>学科门类齐全、特色鲜明。</w:t>
      </w:r>
      <w:r w:rsidR="00A73133" w:rsidRPr="00A73133">
        <w:rPr>
          <w:rFonts w:ascii="Helvetica" w:hAnsi="Helvetica" w:cs="Helvetica"/>
          <w:color w:val="333333"/>
          <w:sz w:val="21"/>
          <w:szCs w:val="21"/>
        </w:rPr>
        <w:t>学校</w:t>
      </w:r>
      <w:r>
        <w:rPr>
          <w:rFonts w:ascii="Helvetica" w:hAnsi="Helvetica" w:cs="Helvetica"/>
          <w:color w:val="333333"/>
          <w:sz w:val="21"/>
          <w:szCs w:val="21"/>
        </w:rPr>
        <w:t>现设有学院</w:t>
      </w:r>
      <w:r>
        <w:rPr>
          <w:rFonts w:ascii="Helvetica" w:hAnsi="Helvetica" w:cs="Helvetica"/>
          <w:color w:val="333333"/>
          <w:sz w:val="21"/>
          <w:szCs w:val="21"/>
        </w:rPr>
        <w:t>24</w:t>
      </w:r>
      <w:r>
        <w:rPr>
          <w:rFonts w:ascii="Helvetica" w:hAnsi="Helvetica" w:cs="Helvetica"/>
          <w:color w:val="333333"/>
          <w:sz w:val="21"/>
          <w:szCs w:val="21"/>
        </w:rPr>
        <w:t>个，研究所</w:t>
      </w:r>
      <w:r>
        <w:rPr>
          <w:rFonts w:ascii="Helvetica" w:hAnsi="Helvetica" w:cs="Helvetica"/>
          <w:color w:val="333333"/>
          <w:sz w:val="21"/>
          <w:szCs w:val="21"/>
        </w:rPr>
        <w:t>(</w:t>
      </w:r>
      <w:r>
        <w:rPr>
          <w:rFonts w:ascii="Helvetica" w:hAnsi="Helvetica" w:cs="Helvetica"/>
          <w:color w:val="333333"/>
          <w:sz w:val="21"/>
          <w:szCs w:val="21"/>
        </w:rPr>
        <w:t>中心</w:t>
      </w:r>
      <w:r>
        <w:rPr>
          <w:rFonts w:ascii="Helvetica" w:hAnsi="Helvetica" w:cs="Helvetica"/>
          <w:color w:val="333333"/>
          <w:sz w:val="21"/>
          <w:szCs w:val="21"/>
        </w:rPr>
        <w:t>)15</w:t>
      </w:r>
      <w:r>
        <w:rPr>
          <w:rFonts w:ascii="Helvetica" w:hAnsi="Helvetica" w:cs="Helvetica"/>
          <w:color w:val="333333"/>
          <w:sz w:val="21"/>
          <w:szCs w:val="21"/>
        </w:rPr>
        <w:t>个，涵盖农学、理学、工学、经济学、管理学、医学、文学、教育学、法学、艺术学</w:t>
      </w:r>
      <w:r>
        <w:rPr>
          <w:rFonts w:ascii="Helvetica" w:hAnsi="Helvetica" w:cs="Helvetica"/>
          <w:color w:val="333333"/>
          <w:sz w:val="21"/>
          <w:szCs w:val="21"/>
        </w:rPr>
        <w:t>10</w:t>
      </w:r>
      <w:r>
        <w:rPr>
          <w:rFonts w:ascii="Helvetica" w:hAnsi="Helvetica" w:cs="Helvetica"/>
          <w:color w:val="333333"/>
          <w:sz w:val="21"/>
          <w:szCs w:val="21"/>
        </w:rPr>
        <w:t>大学科门类。有博士后科研流动站</w:t>
      </w:r>
      <w:r>
        <w:rPr>
          <w:rFonts w:ascii="Helvetica" w:hAnsi="Helvetica" w:cs="Helvetica"/>
          <w:color w:val="333333"/>
          <w:sz w:val="21"/>
          <w:szCs w:val="21"/>
        </w:rPr>
        <w:t>7</w:t>
      </w:r>
      <w:r>
        <w:rPr>
          <w:rFonts w:ascii="Helvetica" w:hAnsi="Helvetica" w:cs="Helvetica"/>
          <w:color w:val="333333"/>
          <w:sz w:val="21"/>
          <w:szCs w:val="21"/>
        </w:rPr>
        <w:t>个，博士学位授权一级学科</w:t>
      </w:r>
      <w:r>
        <w:rPr>
          <w:rFonts w:ascii="Helvetica" w:hAnsi="Helvetica" w:cs="Helvetica"/>
          <w:color w:val="333333"/>
          <w:sz w:val="21"/>
          <w:szCs w:val="21"/>
        </w:rPr>
        <w:t>10</w:t>
      </w:r>
      <w:r>
        <w:rPr>
          <w:rFonts w:ascii="Helvetica" w:hAnsi="Helvetica" w:cs="Helvetica"/>
          <w:color w:val="333333"/>
          <w:sz w:val="21"/>
          <w:szCs w:val="21"/>
        </w:rPr>
        <w:t>个、二级学科</w:t>
      </w:r>
      <w:r>
        <w:rPr>
          <w:rFonts w:ascii="Helvetica" w:hAnsi="Helvetica" w:cs="Helvetica"/>
          <w:color w:val="333333"/>
          <w:sz w:val="21"/>
          <w:szCs w:val="21"/>
        </w:rPr>
        <w:t>40</w:t>
      </w:r>
      <w:r>
        <w:rPr>
          <w:rFonts w:ascii="Helvetica" w:hAnsi="Helvetica" w:cs="Helvetica"/>
          <w:color w:val="333333"/>
          <w:sz w:val="21"/>
          <w:szCs w:val="21"/>
        </w:rPr>
        <w:t>个，硕士学位授权一级学科</w:t>
      </w:r>
      <w:r w:rsidR="00907242">
        <w:rPr>
          <w:rFonts w:ascii="Helvetica" w:hAnsi="Helvetica" w:cs="Helvetica"/>
          <w:color w:val="333333"/>
          <w:sz w:val="21"/>
          <w:szCs w:val="21"/>
        </w:rPr>
        <w:t>17</w:t>
      </w:r>
      <w:r>
        <w:rPr>
          <w:rFonts w:ascii="Helvetica" w:hAnsi="Helvetica" w:cs="Helvetica"/>
          <w:color w:val="333333"/>
          <w:sz w:val="21"/>
          <w:szCs w:val="21"/>
        </w:rPr>
        <w:t>个、二级学科</w:t>
      </w:r>
      <w:r>
        <w:rPr>
          <w:rFonts w:ascii="Helvetica" w:hAnsi="Helvetica" w:cs="Helvetica"/>
          <w:color w:val="333333"/>
          <w:sz w:val="21"/>
          <w:szCs w:val="21"/>
        </w:rPr>
        <w:t>67</w:t>
      </w:r>
      <w:r>
        <w:rPr>
          <w:rFonts w:ascii="Helvetica" w:hAnsi="Helvetica" w:cs="Helvetica"/>
          <w:color w:val="333333"/>
          <w:sz w:val="21"/>
          <w:szCs w:val="21"/>
        </w:rPr>
        <w:t>个，专业学位授予类别（领域）</w:t>
      </w:r>
      <w:r>
        <w:rPr>
          <w:rFonts w:ascii="Helvetica" w:hAnsi="Helvetica" w:cs="Helvetica"/>
          <w:color w:val="333333"/>
          <w:sz w:val="21"/>
          <w:szCs w:val="21"/>
        </w:rPr>
        <w:t>21</w:t>
      </w:r>
      <w:r>
        <w:rPr>
          <w:rFonts w:ascii="Helvetica" w:hAnsi="Helvetica" w:cs="Helvetica"/>
          <w:color w:val="333333"/>
          <w:sz w:val="21"/>
          <w:szCs w:val="21"/>
        </w:rPr>
        <w:t>个，本科专业</w:t>
      </w:r>
      <w:r>
        <w:rPr>
          <w:rFonts w:ascii="Helvetica" w:hAnsi="Helvetica" w:cs="Helvetica"/>
          <w:color w:val="333333"/>
          <w:sz w:val="21"/>
          <w:szCs w:val="21"/>
        </w:rPr>
        <w:t>86</w:t>
      </w:r>
      <w:r>
        <w:rPr>
          <w:rFonts w:ascii="Helvetica" w:hAnsi="Helvetica" w:cs="Helvetica"/>
          <w:color w:val="333333"/>
          <w:sz w:val="21"/>
          <w:szCs w:val="21"/>
        </w:rPr>
        <w:t>个；国家重点学科和重点培育学科</w:t>
      </w:r>
      <w:r>
        <w:rPr>
          <w:rFonts w:ascii="Helvetica" w:hAnsi="Helvetica" w:cs="Helvetica"/>
          <w:color w:val="333333"/>
          <w:sz w:val="21"/>
          <w:szCs w:val="21"/>
        </w:rPr>
        <w:t>4</w:t>
      </w:r>
      <w:r>
        <w:rPr>
          <w:rFonts w:ascii="Helvetica" w:hAnsi="Helvetica" w:cs="Helvetica"/>
          <w:color w:val="333333"/>
          <w:sz w:val="21"/>
          <w:szCs w:val="21"/>
        </w:rPr>
        <w:t>个，部省重点学科</w:t>
      </w:r>
      <w:r>
        <w:rPr>
          <w:rFonts w:ascii="Helvetica" w:hAnsi="Helvetica" w:cs="Helvetica"/>
          <w:color w:val="333333"/>
          <w:sz w:val="21"/>
          <w:szCs w:val="21"/>
        </w:rPr>
        <w:t>19</w:t>
      </w:r>
      <w:r>
        <w:rPr>
          <w:rFonts w:ascii="Helvetica" w:hAnsi="Helvetica" w:cs="Helvetica"/>
          <w:color w:val="333333"/>
          <w:sz w:val="21"/>
          <w:szCs w:val="21"/>
        </w:rPr>
        <w:t>个。</w:t>
      </w:r>
      <w:r>
        <w:rPr>
          <w:rFonts w:ascii="Helvetica" w:hAnsi="Helvetica" w:cs="Helvetica"/>
          <w:color w:val="333333"/>
          <w:sz w:val="21"/>
          <w:szCs w:val="21"/>
        </w:rPr>
        <w:t>2005</w:t>
      </w:r>
      <w:r>
        <w:rPr>
          <w:rFonts w:ascii="Helvetica" w:hAnsi="Helvetica" w:cs="Helvetica"/>
          <w:color w:val="333333"/>
          <w:sz w:val="21"/>
          <w:szCs w:val="21"/>
        </w:rPr>
        <w:t>年学校被确定为全国援疆学科建设计划</w:t>
      </w:r>
      <w:r>
        <w:rPr>
          <w:rFonts w:ascii="Helvetica" w:hAnsi="Helvetica" w:cs="Helvetica"/>
          <w:color w:val="333333"/>
          <w:sz w:val="21"/>
          <w:szCs w:val="21"/>
        </w:rPr>
        <w:t>40</w:t>
      </w:r>
      <w:r>
        <w:rPr>
          <w:rFonts w:ascii="Helvetica" w:hAnsi="Helvetica" w:cs="Helvetica"/>
          <w:color w:val="333333"/>
          <w:sz w:val="21"/>
          <w:szCs w:val="21"/>
        </w:rPr>
        <w:t>所重点高校之一。</w:t>
      </w:r>
      <w:r>
        <w:rPr>
          <w:rFonts w:ascii="Helvetica" w:hAnsi="Helvetica" w:cs="Helvetica"/>
          <w:color w:val="333333"/>
          <w:sz w:val="21"/>
          <w:szCs w:val="21"/>
        </w:rPr>
        <w:t>2012</w:t>
      </w:r>
      <w:r>
        <w:rPr>
          <w:rFonts w:ascii="Helvetica" w:hAnsi="Helvetica" w:cs="Helvetica"/>
          <w:color w:val="333333"/>
          <w:sz w:val="21"/>
          <w:szCs w:val="21"/>
        </w:rPr>
        <w:t>年在全国高校一级学科评估中，</w:t>
      </w:r>
      <w:r>
        <w:rPr>
          <w:rFonts w:ascii="Helvetica" w:hAnsi="Helvetica" w:cs="Helvetica"/>
          <w:color w:val="333333"/>
          <w:sz w:val="21"/>
          <w:szCs w:val="21"/>
        </w:rPr>
        <w:t>6</w:t>
      </w:r>
      <w:r>
        <w:rPr>
          <w:rFonts w:ascii="Helvetica" w:hAnsi="Helvetica" w:cs="Helvetica"/>
          <w:color w:val="333333"/>
          <w:sz w:val="21"/>
          <w:szCs w:val="21"/>
        </w:rPr>
        <w:t>个参评学科有</w:t>
      </w:r>
      <w:r>
        <w:rPr>
          <w:rFonts w:ascii="Helvetica" w:hAnsi="Helvetica" w:cs="Helvetica"/>
          <w:color w:val="333333"/>
          <w:sz w:val="21"/>
          <w:szCs w:val="21"/>
        </w:rPr>
        <w:t>3</w:t>
      </w:r>
      <w:r>
        <w:rPr>
          <w:rFonts w:ascii="Helvetica" w:hAnsi="Helvetica" w:cs="Helvetica"/>
          <w:color w:val="333333"/>
          <w:sz w:val="21"/>
          <w:szCs w:val="21"/>
        </w:rPr>
        <w:t>个、</w:t>
      </w:r>
      <w:r>
        <w:rPr>
          <w:rFonts w:ascii="Helvetica" w:hAnsi="Helvetica" w:cs="Helvetica"/>
          <w:color w:val="333333"/>
          <w:sz w:val="21"/>
          <w:szCs w:val="21"/>
        </w:rPr>
        <w:t>2</w:t>
      </w:r>
      <w:r>
        <w:rPr>
          <w:rFonts w:ascii="Helvetica" w:hAnsi="Helvetica" w:cs="Helvetica"/>
          <w:color w:val="333333"/>
          <w:sz w:val="21"/>
          <w:szCs w:val="21"/>
        </w:rPr>
        <w:t>个和</w:t>
      </w:r>
      <w:r>
        <w:rPr>
          <w:rFonts w:ascii="Helvetica" w:hAnsi="Helvetica" w:cs="Helvetica"/>
          <w:color w:val="333333"/>
          <w:sz w:val="21"/>
          <w:szCs w:val="21"/>
        </w:rPr>
        <w:t>1</w:t>
      </w:r>
      <w:r>
        <w:rPr>
          <w:rFonts w:ascii="Helvetica" w:hAnsi="Helvetica" w:cs="Helvetica"/>
          <w:color w:val="333333"/>
          <w:sz w:val="21"/>
          <w:szCs w:val="21"/>
        </w:rPr>
        <w:t>个分别位居全国第</w:t>
      </w:r>
      <w:r>
        <w:rPr>
          <w:rFonts w:ascii="Helvetica" w:hAnsi="Helvetica" w:cs="Helvetica"/>
          <w:color w:val="333333"/>
          <w:sz w:val="21"/>
          <w:szCs w:val="21"/>
        </w:rPr>
        <w:t>4</w:t>
      </w:r>
      <w:r>
        <w:rPr>
          <w:rFonts w:ascii="Helvetica" w:hAnsi="Helvetica" w:cs="Helvetica"/>
          <w:color w:val="333333"/>
          <w:sz w:val="21"/>
          <w:szCs w:val="21"/>
        </w:rPr>
        <w:t>、第</w:t>
      </w:r>
      <w:r>
        <w:rPr>
          <w:rFonts w:ascii="Helvetica" w:hAnsi="Helvetica" w:cs="Helvetica"/>
          <w:color w:val="333333"/>
          <w:sz w:val="21"/>
          <w:szCs w:val="21"/>
        </w:rPr>
        <w:t>5</w:t>
      </w:r>
      <w:r>
        <w:rPr>
          <w:rFonts w:ascii="Helvetica" w:hAnsi="Helvetica" w:cs="Helvetica"/>
          <w:color w:val="333333"/>
          <w:sz w:val="21"/>
          <w:szCs w:val="21"/>
        </w:rPr>
        <w:t>和第</w:t>
      </w:r>
      <w:r>
        <w:rPr>
          <w:rFonts w:ascii="Helvetica" w:hAnsi="Helvetica" w:cs="Helvetica"/>
          <w:color w:val="333333"/>
          <w:sz w:val="21"/>
          <w:szCs w:val="21"/>
        </w:rPr>
        <w:t>7</w:t>
      </w:r>
      <w:r>
        <w:rPr>
          <w:rFonts w:ascii="Helvetica" w:hAnsi="Helvetica" w:cs="Helvetica"/>
          <w:color w:val="333333"/>
          <w:sz w:val="21"/>
          <w:szCs w:val="21"/>
        </w:rPr>
        <w:t>。</w:t>
      </w:r>
      <w:r>
        <w:rPr>
          <w:rFonts w:ascii="Helvetica" w:hAnsi="Helvetica" w:cs="Helvetica"/>
          <w:color w:val="333333"/>
          <w:sz w:val="21"/>
          <w:szCs w:val="21"/>
        </w:rPr>
        <w:t xml:space="preserve"> </w:t>
      </w:r>
    </w:p>
    <w:p w:rsidR="0027038D" w:rsidRDefault="0027038D" w:rsidP="00157CF8">
      <w:pPr>
        <w:pStyle w:val="a3"/>
        <w:shd w:val="clear" w:color="auto" w:fill="FFFFFF"/>
        <w:spacing w:line="360" w:lineRule="auto"/>
        <w:ind w:firstLineChars="202" w:firstLine="426"/>
        <w:rPr>
          <w:rFonts w:ascii="Helvetica" w:hAnsi="Helvetica" w:cs="Helvetica"/>
          <w:color w:val="333333"/>
          <w:sz w:val="21"/>
          <w:szCs w:val="21"/>
        </w:rPr>
      </w:pPr>
      <w:r>
        <w:rPr>
          <w:rFonts w:ascii="Helvetica" w:hAnsi="Helvetica" w:cs="Helvetica"/>
          <w:b/>
          <w:bCs/>
          <w:color w:val="333333"/>
          <w:sz w:val="21"/>
          <w:szCs w:val="21"/>
        </w:rPr>
        <w:t>师资力量雄厚、名师荟萃。</w:t>
      </w:r>
      <w:r w:rsidR="00A73133" w:rsidRPr="00A73133">
        <w:rPr>
          <w:rFonts w:ascii="Helvetica" w:hAnsi="Helvetica" w:cs="Helvetica"/>
          <w:color w:val="333333"/>
          <w:sz w:val="21"/>
          <w:szCs w:val="21"/>
        </w:rPr>
        <w:t>学校</w:t>
      </w:r>
      <w:r>
        <w:rPr>
          <w:rFonts w:ascii="Helvetica" w:hAnsi="Helvetica" w:cs="Helvetica"/>
          <w:color w:val="333333"/>
          <w:sz w:val="21"/>
          <w:szCs w:val="21"/>
        </w:rPr>
        <w:t>现有教职工</w:t>
      </w:r>
      <w:r>
        <w:rPr>
          <w:rFonts w:ascii="Helvetica" w:hAnsi="Helvetica" w:cs="Helvetica"/>
          <w:color w:val="333333"/>
          <w:sz w:val="21"/>
          <w:szCs w:val="21"/>
        </w:rPr>
        <w:t>3000</w:t>
      </w:r>
      <w:r>
        <w:rPr>
          <w:rFonts w:ascii="Helvetica" w:hAnsi="Helvetica" w:cs="Helvetica"/>
          <w:color w:val="333333"/>
          <w:sz w:val="21"/>
          <w:szCs w:val="21"/>
        </w:rPr>
        <w:t>余人，其中：教授</w:t>
      </w:r>
      <w:r>
        <w:rPr>
          <w:rFonts w:ascii="Helvetica" w:hAnsi="Helvetica" w:cs="Helvetica"/>
          <w:color w:val="333333"/>
          <w:sz w:val="21"/>
          <w:szCs w:val="21"/>
        </w:rPr>
        <w:t>323</w:t>
      </w:r>
      <w:r>
        <w:rPr>
          <w:rFonts w:ascii="Helvetica" w:hAnsi="Helvetica" w:cs="Helvetica"/>
          <w:color w:val="333333"/>
          <w:sz w:val="21"/>
          <w:szCs w:val="21"/>
        </w:rPr>
        <w:t>人、副教授</w:t>
      </w:r>
      <w:r>
        <w:rPr>
          <w:rFonts w:ascii="Helvetica" w:hAnsi="Helvetica" w:cs="Helvetica"/>
          <w:color w:val="333333"/>
          <w:sz w:val="21"/>
          <w:szCs w:val="21"/>
        </w:rPr>
        <w:t>578</w:t>
      </w:r>
      <w:r>
        <w:rPr>
          <w:rFonts w:ascii="Helvetica" w:hAnsi="Helvetica" w:cs="Helvetica"/>
          <w:color w:val="333333"/>
          <w:sz w:val="21"/>
          <w:szCs w:val="21"/>
        </w:rPr>
        <w:t>人；博士生导师</w:t>
      </w:r>
      <w:r>
        <w:rPr>
          <w:rFonts w:ascii="Helvetica" w:hAnsi="Helvetica" w:cs="Helvetica"/>
          <w:color w:val="333333"/>
          <w:sz w:val="21"/>
          <w:szCs w:val="21"/>
        </w:rPr>
        <w:t>234</w:t>
      </w:r>
      <w:r>
        <w:rPr>
          <w:rFonts w:ascii="Helvetica" w:hAnsi="Helvetica" w:cs="Helvetica"/>
          <w:color w:val="333333"/>
          <w:sz w:val="21"/>
          <w:szCs w:val="21"/>
        </w:rPr>
        <w:t>人、硕士生导师</w:t>
      </w:r>
      <w:r w:rsidR="00AB4A74">
        <w:rPr>
          <w:rFonts w:ascii="Helvetica" w:hAnsi="Helvetica" w:cs="Helvetica"/>
          <w:color w:val="333333"/>
          <w:sz w:val="21"/>
          <w:szCs w:val="21"/>
        </w:rPr>
        <w:t>595</w:t>
      </w:r>
      <w:r>
        <w:rPr>
          <w:rFonts w:ascii="Helvetica" w:hAnsi="Helvetica" w:cs="Helvetica"/>
          <w:color w:val="333333"/>
          <w:sz w:val="21"/>
          <w:szCs w:val="21"/>
        </w:rPr>
        <w:t>人；中国工程院院士</w:t>
      </w:r>
      <w:r>
        <w:rPr>
          <w:rFonts w:ascii="Helvetica" w:hAnsi="Helvetica" w:cs="Helvetica"/>
          <w:color w:val="333333"/>
          <w:sz w:val="21"/>
          <w:szCs w:val="21"/>
        </w:rPr>
        <w:t>1</w:t>
      </w:r>
      <w:r>
        <w:rPr>
          <w:rFonts w:ascii="Helvetica" w:hAnsi="Helvetica" w:cs="Helvetica"/>
          <w:color w:val="333333"/>
          <w:sz w:val="21"/>
          <w:szCs w:val="21"/>
        </w:rPr>
        <w:t>人，国家杰出高级专家</w:t>
      </w:r>
      <w:r>
        <w:rPr>
          <w:rFonts w:ascii="Helvetica" w:hAnsi="Helvetica" w:cs="Helvetica"/>
          <w:color w:val="333333"/>
          <w:sz w:val="21"/>
          <w:szCs w:val="21"/>
        </w:rPr>
        <w:t>5</w:t>
      </w:r>
      <w:r>
        <w:rPr>
          <w:rFonts w:ascii="Helvetica" w:hAnsi="Helvetica" w:cs="Helvetica"/>
          <w:color w:val="333333"/>
          <w:sz w:val="21"/>
          <w:szCs w:val="21"/>
        </w:rPr>
        <w:t>人，长江学者特聘教授</w:t>
      </w:r>
      <w:r>
        <w:rPr>
          <w:rFonts w:ascii="Helvetica" w:hAnsi="Helvetica" w:cs="Helvetica"/>
          <w:color w:val="333333"/>
          <w:sz w:val="21"/>
          <w:szCs w:val="21"/>
        </w:rPr>
        <w:t>1</w:t>
      </w:r>
      <w:r>
        <w:rPr>
          <w:rFonts w:ascii="Helvetica" w:hAnsi="Helvetica" w:cs="Helvetica"/>
          <w:color w:val="333333"/>
          <w:sz w:val="21"/>
          <w:szCs w:val="21"/>
        </w:rPr>
        <w:t>人，国家有突出贡献的中青年专家</w:t>
      </w:r>
      <w:r>
        <w:rPr>
          <w:rFonts w:ascii="Helvetica" w:hAnsi="Helvetica" w:cs="Helvetica"/>
          <w:color w:val="333333"/>
          <w:sz w:val="21"/>
          <w:szCs w:val="21"/>
        </w:rPr>
        <w:t>9</w:t>
      </w:r>
      <w:r>
        <w:rPr>
          <w:rFonts w:ascii="Helvetica" w:hAnsi="Helvetica" w:cs="Helvetica"/>
          <w:color w:val="333333"/>
          <w:sz w:val="21"/>
          <w:szCs w:val="21"/>
        </w:rPr>
        <w:t>人，国家杰出青年科学基金获得者</w:t>
      </w:r>
      <w:r>
        <w:rPr>
          <w:rFonts w:ascii="Helvetica" w:hAnsi="Helvetica" w:cs="Helvetica"/>
          <w:color w:val="333333"/>
          <w:sz w:val="21"/>
          <w:szCs w:val="21"/>
        </w:rPr>
        <w:t>1</w:t>
      </w:r>
      <w:r>
        <w:rPr>
          <w:rFonts w:ascii="Helvetica" w:hAnsi="Helvetica" w:cs="Helvetica"/>
          <w:color w:val="333333"/>
          <w:sz w:val="21"/>
          <w:szCs w:val="21"/>
        </w:rPr>
        <w:t>人，国家级教学名师</w:t>
      </w:r>
      <w:r>
        <w:rPr>
          <w:rFonts w:ascii="Helvetica" w:hAnsi="Helvetica" w:cs="Helvetica"/>
          <w:color w:val="333333"/>
          <w:sz w:val="21"/>
          <w:szCs w:val="21"/>
        </w:rPr>
        <w:t>1</w:t>
      </w:r>
      <w:r>
        <w:rPr>
          <w:rFonts w:ascii="Helvetica" w:hAnsi="Helvetica" w:cs="Helvetica"/>
          <w:color w:val="333333"/>
          <w:sz w:val="21"/>
          <w:szCs w:val="21"/>
        </w:rPr>
        <w:t>人，国家百千万人才工程人选</w:t>
      </w:r>
      <w:r>
        <w:rPr>
          <w:rFonts w:ascii="Helvetica" w:hAnsi="Helvetica" w:cs="Helvetica"/>
          <w:color w:val="333333"/>
          <w:sz w:val="21"/>
          <w:szCs w:val="21"/>
        </w:rPr>
        <w:t>11</w:t>
      </w:r>
      <w:r>
        <w:rPr>
          <w:rFonts w:ascii="Helvetica" w:hAnsi="Helvetica" w:cs="Helvetica"/>
          <w:color w:val="333333"/>
          <w:sz w:val="21"/>
          <w:szCs w:val="21"/>
        </w:rPr>
        <w:t>人，国家万人计划青年拔尖人才</w:t>
      </w:r>
      <w:r>
        <w:rPr>
          <w:rFonts w:ascii="Helvetica" w:hAnsi="Helvetica" w:cs="Helvetica"/>
          <w:color w:val="333333"/>
          <w:sz w:val="21"/>
          <w:szCs w:val="21"/>
        </w:rPr>
        <w:t>1</w:t>
      </w:r>
      <w:r>
        <w:rPr>
          <w:rFonts w:ascii="Helvetica" w:hAnsi="Helvetica" w:cs="Helvetica"/>
          <w:color w:val="333333"/>
          <w:sz w:val="21"/>
          <w:szCs w:val="21"/>
        </w:rPr>
        <w:t>人，国家</w:t>
      </w:r>
      <w:r>
        <w:rPr>
          <w:rFonts w:ascii="Helvetica" w:hAnsi="Helvetica" w:cs="Helvetica"/>
          <w:color w:val="333333"/>
          <w:sz w:val="21"/>
          <w:szCs w:val="21"/>
        </w:rPr>
        <w:t>973</w:t>
      </w:r>
      <w:r>
        <w:rPr>
          <w:rFonts w:ascii="Helvetica" w:hAnsi="Helvetica" w:cs="Helvetica"/>
          <w:color w:val="333333"/>
          <w:sz w:val="21"/>
          <w:szCs w:val="21"/>
        </w:rPr>
        <w:t>计划首席青年科学家</w:t>
      </w:r>
      <w:r>
        <w:rPr>
          <w:rFonts w:ascii="Helvetica" w:hAnsi="Helvetica" w:cs="Helvetica"/>
          <w:color w:val="333333"/>
          <w:sz w:val="21"/>
          <w:szCs w:val="21"/>
        </w:rPr>
        <w:t>1</w:t>
      </w:r>
      <w:r>
        <w:rPr>
          <w:rFonts w:ascii="Helvetica" w:hAnsi="Helvetica" w:cs="Helvetica"/>
          <w:color w:val="333333"/>
          <w:sz w:val="21"/>
          <w:szCs w:val="21"/>
        </w:rPr>
        <w:t>人，新世纪优秀人才支持计划人选</w:t>
      </w:r>
      <w:r>
        <w:rPr>
          <w:rFonts w:ascii="Helvetica" w:hAnsi="Helvetica" w:cs="Helvetica"/>
          <w:color w:val="333333"/>
          <w:sz w:val="21"/>
          <w:szCs w:val="21"/>
        </w:rPr>
        <w:t>16</w:t>
      </w:r>
      <w:r>
        <w:rPr>
          <w:rFonts w:ascii="Helvetica" w:hAnsi="Helvetica" w:cs="Helvetica"/>
          <w:color w:val="333333"/>
          <w:sz w:val="21"/>
          <w:szCs w:val="21"/>
        </w:rPr>
        <w:t>人，享受国务院政府特殊津贴专家</w:t>
      </w:r>
      <w:r>
        <w:rPr>
          <w:rFonts w:ascii="Helvetica" w:hAnsi="Helvetica" w:cs="Helvetica"/>
          <w:color w:val="333333"/>
          <w:sz w:val="21"/>
          <w:szCs w:val="21"/>
        </w:rPr>
        <w:t>130</w:t>
      </w:r>
      <w:r>
        <w:rPr>
          <w:rFonts w:ascii="Helvetica" w:hAnsi="Helvetica" w:cs="Helvetica"/>
          <w:color w:val="333333"/>
          <w:sz w:val="21"/>
          <w:szCs w:val="21"/>
        </w:rPr>
        <w:t>人；四川省学术和技术带头人</w:t>
      </w:r>
      <w:r>
        <w:rPr>
          <w:rFonts w:ascii="Helvetica" w:hAnsi="Helvetica" w:cs="Helvetica"/>
          <w:color w:val="333333"/>
          <w:sz w:val="21"/>
          <w:szCs w:val="21"/>
        </w:rPr>
        <w:t>90</w:t>
      </w:r>
      <w:r>
        <w:rPr>
          <w:rFonts w:ascii="Helvetica" w:hAnsi="Helvetica" w:cs="Helvetica"/>
          <w:color w:val="333333"/>
          <w:sz w:val="21"/>
          <w:szCs w:val="21"/>
        </w:rPr>
        <w:t>人，四川省有突出贡献的优秀专家</w:t>
      </w:r>
      <w:r>
        <w:rPr>
          <w:rFonts w:ascii="Helvetica" w:hAnsi="Helvetica" w:cs="Helvetica"/>
          <w:color w:val="333333"/>
          <w:sz w:val="21"/>
          <w:szCs w:val="21"/>
        </w:rPr>
        <w:t>51</w:t>
      </w:r>
      <w:r>
        <w:rPr>
          <w:rFonts w:ascii="Helvetica" w:hAnsi="Helvetica" w:cs="Helvetica"/>
          <w:color w:val="333333"/>
          <w:sz w:val="21"/>
          <w:szCs w:val="21"/>
        </w:rPr>
        <w:t>人，四川省千人计划人选</w:t>
      </w:r>
      <w:r>
        <w:rPr>
          <w:rFonts w:ascii="Helvetica" w:hAnsi="Helvetica" w:cs="Helvetica"/>
          <w:color w:val="333333"/>
          <w:sz w:val="21"/>
          <w:szCs w:val="21"/>
        </w:rPr>
        <w:t>8</w:t>
      </w:r>
      <w:r>
        <w:rPr>
          <w:rFonts w:ascii="Helvetica" w:hAnsi="Helvetica" w:cs="Helvetica"/>
          <w:color w:val="333333"/>
          <w:sz w:val="21"/>
          <w:szCs w:val="21"/>
        </w:rPr>
        <w:t>人，四川省教学名师</w:t>
      </w:r>
      <w:r>
        <w:rPr>
          <w:rFonts w:ascii="Helvetica" w:hAnsi="Helvetica" w:cs="Helvetica"/>
          <w:color w:val="333333"/>
          <w:sz w:val="21"/>
          <w:szCs w:val="21"/>
        </w:rPr>
        <w:t>13</w:t>
      </w:r>
      <w:r>
        <w:rPr>
          <w:rFonts w:ascii="Helvetica" w:hAnsi="Helvetica" w:cs="Helvetica"/>
          <w:color w:val="333333"/>
          <w:sz w:val="21"/>
          <w:szCs w:val="21"/>
        </w:rPr>
        <w:t>人；何梁何利基金获得者</w:t>
      </w:r>
      <w:r>
        <w:rPr>
          <w:rFonts w:ascii="Helvetica" w:hAnsi="Helvetica" w:cs="Helvetica"/>
          <w:color w:val="333333"/>
          <w:sz w:val="21"/>
          <w:szCs w:val="21"/>
        </w:rPr>
        <w:t>4</w:t>
      </w:r>
      <w:r>
        <w:rPr>
          <w:rFonts w:ascii="Helvetica" w:hAnsi="Helvetica" w:cs="Helvetica"/>
          <w:color w:val="333333"/>
          <w:sz w:val="21"/>
          <w:szCs w:val="21"/>
        </w:rPr>
        <w:t>人，霍英东教育基金获得者</w:t>
      </w:r>
      <w:r>
        <w:rPr>
          <w:rFonts w:ascii="Helvetica" w:hAnsi="Helvetica" w:cs="Helvetica"/>
          <w:color w:val="333333"/>
          <w:sz w:val="21"/>
          <w:szCs w:val="21"/>
        </w:rPr>
        <w:t>13</w:t>
      </w:r>
      <w:r>
        <w:rPr>
          <w:rFonts w:ascii="Helvetica" w:hAnsi="Helvetica" w:cs="Helvetica"/>
          <w:color w:val="333333"/>
          <w:sz w:val="21"/>
          <w:szCs w:val="21"/>
        </w:rPr>
        <w:t>人，四川省科技杰出贡献奖获得者</w:t>
      </w:r>
      <w:r>
        <w:rPr>
          <w:rFonts w:ascii="Helvetica" w:hAnsi="Helvetica" w:cs="Helvetica"/>
          <w:color w:val="333333"/>
          <w:sz w:val="21"/>
          <w:szCs w:val="21"/>
        </w:rPr>
        <w:t>4</w:t>
      </w:r>
      <w:r>
        <w:rPr>
          <w:rFonts w:ascii="Helvetica" w:hAnsi="Helvetica" w:cs="Helvetica"/>
          <w:color w:val="333333"/>
          <w:sz w:val="21"/>
          <w:szCs w:val="21"/>
        </w:rPr>
        <w:t>人。学校是全省首批人才优先发展试验区</w:t>
      </w:r>
      <w:r>
        <w:rPr>
          <w:rFonts w:ascii="Helvetica" w:hAnsi="Helvetica" w:cs="Helvetica"/>
          <w:color w:val="333333"/>
          <w:sz w:val="21"/>
          <w:szCs w:val="21"/>
        </w:rPr>
        <w:t>2</w:t>
      </w:r>
      <w:r>
        <w:rPr>
          <w:rFonts w:ascii="Helvetica" w:hAnsi="Helvetica" w:cs="Helvetica"/>
          <w:color w:val="333333"/>
          <w:sz w:val="21"/>
          <w:szCs w:val="21"/>
        </w:rPr>
        <w:t>所试点高校之一。</w:t>
      </w:r>
      <w:r>
        <w:rPr>
          <w:rFonts w:ascii="Helvetica" w:hAnsi="Helvetica" w:cs="Helvetica"/>
          <w:color w:val="333333"/>
          <w:sz w:val="21"/>
          <w:szCs w:val="21"/>
        </w:rPr>
        <w:t xml:space="preserve"> </w:t>
      </w:r>
    </w:p>
    <w:p w:rsidR="0027038D" w:rsidRPr="0027038D" w:rsidRDefault="0027038D" w:rsidP="00157CF8">
      <w:pPr>
        <w:widowControl/>
        <w:shd w:val="clear" w:color="auto" w:fill="FFFFFF"/>
        <w:spacing w:after="150" w:line="360" w:lineRule="auto"/>
        <w:ind w:firstLineChars="202" w:firstLine="426"/>
        <w:jc w:val="left"/>
        <w:rPr>
          <w:rFonts w:ascii="Helvetica" w:eastAsia="宋体" w:hAnsi="Helvetica" w:cs="Helvetica"/>
          <w:color w:val="333333"/>
          <w:kern w:val="0"/>
          <w:szCs w:val="21"/>
        </w:rPr>
      </w:pPr>
      <w:r w:rsidRPr="0027038D">
        <w:rPr>
          <w:rFonts w:ascii="Helvetica" w:eastAsia="宋体" w:hAnsi="Helvetica" w:cs="Helvetica"/>
          <w:b/>
          <w:bCs/>
          <w:color w:val="333333"/>
          <w:kern w:val="0"/>
          <w:szCs w:val="21"/>
        </w:rPr>
        <w:t>育人体系完备、条件优良。</w:t>
      </w:r>
      <w:r w:rsidR="00A73133" w:rsidRPr="00A73133">
        <w:rPr>
          <w:rFonts w:ascii="Helvetica" w:hAnsi="Helvetica" w:cs="Helvetica"/>
          <w:color w:val="333333"/>
          <w:szCs w:val="21"/>
        </w:rPr>
        <w:t>学校</w:t>
      </w:r>
      <w:r w:rsidRPr="0027038D">
        <w:rPr>
          <w:rFonts w:ascii="Helvetica" w:eastAsia="宋体" w:hAnsi="Helvetica" w:cs="Helvetica"/>
          <w:color w:val="333333"/>
          <w:kern w:val="0"/>
          <w:szCs w:val="21"/>
        </w:rPr>
        <w:t>具备培养学士、硕士、博士的完整教育体系，是</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文革</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后全国首批恢复招收研究生的高校之一，现有全日制硕士和博士研究生近</w:t>
      </w:r>
      <w:r w:rsidRPr="0027038D">
        <w:rPr>
          <w:rFonts w:ascii="Helvetica" w:eastAsia="宋体" w:hAnsi="Helvetica" w:cs="Helvetica"/>
          <w:color w:val="333333"/>
          <w:kern w:val="0"/>
          <w:szCs w:val="21"/>
        </w:rPr>
        <w:t>4000</w:t>
      </w:r>
      <w:r w:rsidRPr="0027038D">
        <w:rPr>
          <w:rFonts w:ascii="Helvetica" w:eastAsia="宋体" w:hAnsi="Helvetica" w:cs="Helvetica"/>
          <w:color w:val="333333"/>
          <w:kern w:val="0"/>
          <w:szCs w:val="21"/>
        </w:rPr>
        <w:t>人。获省级以上教学成果奖</w:t>
      </w:r>
      <w:r w:rsidRPr="0027038D">
        <w:rPr>
          <w:rFonts w:ascii="Helvetica" w:eastAsia="宋体" w:hAnsi="Helvetica" w:cs="Helvetica"/>
          <w:color w:val="333333"/>
          <w:kern w:val="0"/>
          <w:szCs w:val="21"/>
        </w:rPr>
        <w:t>86</w:t>
      </w:r>
      <w:r w:rsidRPr="0027038D">
        <w:rPr>
          <w:rFonts w:ascii="Helvetica" w:eastAsia="宋体" w:hAnsi="Helvetica" w:cs="Helvetica"/>
          <w:color w:val="333333"/>
          <w:kern w:val="0"/>
          <w:szCs w:val="21"/>
        </w:rPr>
        <w:t>项，其中：国家级一等奖</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项、二等奖</w:t>
      </w:r>
      <w:r w:rsidRPr="0027038D">
        <w:rPr>
          <w:rFonts w:ascii="Helvetica" w:eastAsia="宋体" w:hAnsi="Helvetica" w:cs="Helvetica"/>
          <w:color w:val="333333"/>
          <w:kern w:val="0"/>
          <w:szCs w:val="21"/>
        </w:rPr>
        <w:t>7</w:t>
      </w:r>
      <w:r w:rsidRPr="0027038D">
        <w:rPr>
          <w:rFonts w:ascii="Helvetica" w:eastAsia="宋体" w:hAnsi="Helvetica" w:cs="Helvetica"/>
          <w:color w:val="333333"/>
          <w:kern w:val="0"/>
          <w:szCs w:val="21"/>
        </w:rPr>
        <w:t>项，省级一等奖</w:t>
      </w:r>
      <w:r w:rsidRPr="0027038D">
        <w:rPr>
          <w:rFonts w:ascii="Helvetica" w:eastAsia="宋体" w:hAnsi="Helvetica" w:cs="Helvetica"/>
          <w:color w:val="333333"/>
          <w:kern w:val="0"/>
          <w:szCs w:val="21"/>
        </w:rPr>
        <w:t>26</w:t>
      </w:r>
      <w:r w:rsidRPr="0027038D">
        <w:rPr>
          <w:rFonts w:ascii="Helvetica" w:eastAsia="宋体" w:hAnsi="Helvetica" w:cs="Helvetica"/>
          <w:color w:val="333333"/>
          <w:kern w:val="0"/>
          <w:szCs w:val="21"/>
        </w:rPr>
        <w:t>项。全国优秀博士学位论文</w:t>
      </w:r>
      <w:r w:rsidRPr="0027038D">
        <w:rPr>
          <w:rFonts w:ascii="Helvetica" w:eastAsia="宋体" w:hAnsi="Helvetica" w:cs="Helvetica"/>
          <w:color w:val="333333"/>
          <w:kern w:val="0"/>
          <w:szCs w:val="21"/>
        </w:rPr>
        <w:t>5</w:t>
      </w:r>
      <w:r w:rsidRPr="0027038D">
        <w:rPr>
          <w:rFonts w:ascii="Helvetica" w:eastAsia="宋体" w:hAnsi="Helvetica" w:cs="Helvetica"/>
          <w:color w:val="333333"/>
          <w:kern w:val="0"/>
          <w:szCs w:val="21"/>
        </w:rPr>
        <w:t>篇、提名</w:t>
      </w:r>
      <w:r w:rsidRPr="0027038D">
        <w:rPr>
          <w:rFonts w:ascii="Helvetica" w:eastAsia="宋体" w:hAnsi="Helvetica" w:cs="Helvetica"/>
          <w:color w:val="333333"/>
          <w:kern w:val="0"/>
          <w:szCs w:val="21"/>
        </w:rPr>
        <w:t>6</w:t>
      </w:r>
      <w:r w:rsidRPr="0027038D">
        <w:rPr>
          <w:rFonts w:ascii="Helvetica" w:eastAsia="宋体" w:hAnsi="Helvetica" w:cs="Helvetica"/>
          <w:color w:val="333333"/>
          <w:kern w:val="0"/>
          <w:szCs w:val="21"/>
        </w:rPr>
        <w:t>篇。有国家级特色专业</w:t>
      </w:r>
      <w:r w:rsidRPr="0027038D">
        <w:rPr>
          <w:rFonts w:ascii="Helvetica" w:eastAsia="宋体" w:hAnsi="Helvetica" w:cs="Helvetica"/>
          <w:color w:val="333333"/>
          <w:kern w:val="0"/>
          <w:szCs w:val="21"/>
        </w:rPr>
        <w:t>10</w:t>
      </w:r>
      <w:r w:rsidRPr="0027038D">
        <w:rPr>
          <w:rFonts w:ascii="Helvetica" w:eastAsia="宋体" w:hAnsi="Helvetica" w:cs="Helvetica"/>
          <w:color w:val="333333"/>
          <w:kern w:val="0"/>
          <w:szCs w:val="21"/>
        </w:rPr>
        <w:t>个，国家级精品课程</w:t>
      </w:r>
      <w:r w:rsidRPr="0027038D">
        <w:rPr>
          <w:rFonts w:ascii="Helvetica" w:eastAsia="宋体" w:hAnsi="Helvetica" w:cs="Helvetica"/>
          <w:color w:val="333333"/>
          <w:kern w:val="0"/>
          <w:szCs w:val="21"/>
        </w:rPr>
        <w:t>5</w:t>
      </w:r>
      <w:r w:rsidRPr="0027038D">
        <w:rPr>
          <w:rFonts w:ascii="Helvetica" w:eastAsia="宋体" w:hAnsi="Helvetica" w:cs="Helvetica"/>
          <w:color w:val="333333"/>
          <w:kern w:val="0"/>
          <w:szCs w:val="21"/>
        </w:rPr>
        <w:t>门，国家级教学团队</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个，国家级人才培养模式创新实验区</w:t>
      </w:r>
      <w:r w:rsidRPr="0027038D">
        <w:rPr>
          <w:rFonts w:ascii="Helvetica" w:eastAsia="宋体" w:hAnsi="Helvetica" w:cs="Helvetica"/>
          <w:color w:val="333333"/>
          <w:kern w:val="0"/>
          <w:szCs w:val="21"/>
        </w:rPr>
        <w:t>1</w:t>
      </w:r>
      <w:r w:rsidRPr="0027038D">
        <w:rPr>
          <w:rFonts w:ascii="Helvetica" w:eastAsia="宋体" w:hAnsi="Helvetica" w:cs="Helvetica"/>
          <w:color w:val="333333"/>
          <w:kern w:val="0"/>
          <w:szCs w:val="21"/>
        </w:rPr>
        <w:t>个，国家级实验教学示范中心</w:t>
      </w:r>
      <w:r w:rsidRPr="0027038D">
        <w:rPr>
          <w:rFonts w:ascii="Helvetica" w:eastAsia="宋体" w:hAnsi="Helvetica" w:cs="Helvetica"/>
          <w:color w:val="333333"/>
          <w:kern w:val="0"/>
          <w:szCs w:val="21"/>
        </w:rPr>
        <w:t>2</w:t>
      </w:r>
      <w:r w:rsidRPr="0027038D">
        <w:rPr>
          <w:rFonts w:ascii="Helvetica" w:eastAsia="宋体" w:hAnsi="Helvetica" w:cs="Helvetica"/>
          <w:color w:val="333333"/>
          <w:kern w:val="0"/>
          <w:szCs w:val="21"/>
        </w:rPr>
        <w:t>个，国家级大学生校外实践教育基地</w:t>
      </w:r>
      <w:r w:rsidRPr="0027038D">
        <w:rPr>
          <w:rFonts w:ascii="Helvetica" w:eastAsia="宋体" w:hAnsi="Helvetica" w:cs="Helvetica"/>
          <w:color w:val="333333"/>
          <w:kern w:val="0"/>
          <w:szCs w:val="21"/>
        </w:rPr>
        <w:t>1</w:t>
      </w:r>
      <w:r w:rsidRPr="0027038D">
        <w:rPr>
          <w:rFonts w:ascii="Helvetica" w:eastAsia="宋体" w:hAnsi="Helvetica" w:cs="Helvetica"/>
          <w:color w:val="333333"/>
          <w:kern w:val="0"/>
          <w:szCs w:val="21"/>
        </w:rPr>
        <w:t>个，国家级大学生创新创业训练计划项目</w:t>
      </w:r>
      <w:r w:rsidRPr="0027038D">
        <w:rPr>
          <w:rFonts w:ascii="Helvetica" w:eastAsia="宋体" w:hAnsi="Helvetica" w:cs="Helvetica"/>
          <w:color w:val="333333"/>
          <w:kern w:val="0"/>
          <w:szCs w:val="21"/>
        </w:rPr>
        <w:t>210</w:t>
      </w:r>
      <w:r w:rsidRPr="0027038D">
        <w:rPr>
          <w:rFonts w:ascii="Helvetica" w:eastAsia="宋体" w:hAnsi="Helvetica" w:cs="Helvetica"/>
          <w:color w:val="333333"/>
          <w:kern w:val="0"/>
          <w:szCs w:val="21"/>
        </w:rPr>
        <w:t>项。学校是全国自主选拔录取改革试点高校之一、全国首批毕业生就业典型经验</w:t>
      </w:r>
      <w:r w:rsidRPr="0027038D">
        <w:rPr>
          <w:rFonts w:ascii="Helvetica" w:eastAsia="宋体" w:hAnsi="Helvetica" w:cs="Helvetica"/>
          <w:color w:val="333333"/>
          <w:kern w:val="0"/>
          <w:szCs w:val="21"/>
        </w:rPr>
        <w:t>50</w:t>
      </w:r>
      <w:r w:rsidRPr="0027038D">
        <w:rPr>
          <w:rFonts w:ascii="Helvetica" w:eastAsia="宋体" w:hAnsi="Helvetica" w:cs="Helvetica"/>
          <w:color w:val="333333"/>
          <w:kern w:val="0"/>
          <w:szCs w:val="21"/>
        </w:rPr>
        <w:t>所高校之一和全省首批大学生创新创业示范俱乐部</w:t>
      </w:r>
      <w:r w:rsidRPr="0027038D">
        <w:rPr>
          <w:rFonts w:ascii="Helvetica" w:eastAsia="宋体" w:hAnsi="Helvetica" w:cs="Helvetica"/>
          <w:color w:val="333333"/>
          <w:kern w:val="0"/>
          <w:szCs w:val="21"/>
        </w:rPr>
        <w:t>6</w:t>
      </w:r>
      <w:r w:rsidRPr="0027038D">
        <w:rPr>
          <w:rFonts w:ascii="Helvetica" w:eastAsia="宋体" w:hAnsi="Helvetica" w:cs="Helvetica"/>
          <w:color w:val="333333"/>
          <w:kern w:val="0"/>
          <w:szCs w:val="21"/>
        </w:rPr>
        <w:t>所高校之一。</w:t>
      </w:r>
      <w:r w:rsidRPr="0027038D">
        <w:rPr>
          <w:rFonts w:ascii="Helvetica" w:eastAsia="宋体" w:hAnsi="Helvetica" w:cs="Helvetica"/>
          <w:color w:val="333333"/>
          <w:kern w:val="0"/>
          <w:szCs w:val="21"/>
        </w:rPr>
        <w:t xml:space="preserve"> </w:t>
      </w:r>
    </w:p>
    <w:p w:rsidR="0027038D" w:rsidRPr="0027038D" w:rsidRDefault="0027038D" w:rsidP="00157CF8">
      <w:pPr>
        <w:widowControl/>
        <w:shd w:val="clear" w:color="auto" w:fill="FFFFFF"/>
        <w:spacing w:line="360" w:lineRule="auto"/>
        <w:ind w:firstLineChars="202" w:firstLine="426"/>
        <w:jc w:val="left"/>
        <w:rPr>
          <w:rFonts w:ascii="Helvetica" w:eastAsia="宋体" w:hAnsi="Helvetica" w:cs="Helvetica"/>
          <w:color w:val="333333"/>
          <w:kern w:val="0"/>
          <w:szCs w:val="21"/>
        </w:rPr>
      </w:pPr>
      <w:r w:rsidRPr="0027038D">
        <w:rPr>
          <w:rFonts w:ascii="Helvetica" w:eastAsia="宋体" w:hAnsi="Helvetica" w:cs="Helvetica"/>
          <w:b/>
          <w:bCs/>
          <w:color w:val="333333"/>
          <w:kern w:val="0"/>
          <w:szCs w:val="21"/>
        </w:rPr>
        <w:lastRenderedPageBreak/>
        <w:t>科研成果丰硕、效益显著。</w:t>
      </w:r>
      <w:r w:rsidR="00A73133" w:rsidRPr="00A73133">
        <w:rPr>
          <w:rFonts w:ascii="Helvetica" w:hAnsi="Helvetica" w:cs="Helvetica"/>
          <w:color w:val="333333"/>
          <w:szCs w:val="21"/>
        </w:rPr>
        <w:t>学校</w:t>
      </w:r>
      <w:r w:rsidRPr="0027038D">
        <w:rPr>
          <w:rFonts w:ascii="Helvetica" w:eastAsia="宋体" w:hAnsi="Helvetica" w:cs="Helvetica"/>
          <w:color w:val="333333"/>
          <w:kern w:val="0"/>
          <w:szCs w:val="21"/>
        </w:rPr>
        <w:t>获部省级以上科技成果奖励</w:t>
      </w:r>
      <w:r w:rsidRPr="0027038D">
        <w:rPr>
          <w:rFonts w:ascii="Helvetica" w:eastAsia="宋体" w:hAnsi="Helvetica" w:cs="Helvetica"/>
          <w:color w:val="333333"/>
          <w:kern w:val="0"/>
          <w:szCs w:val="21"/>
        </w:rPr>
        <w:t>500</w:t>
      </w:r>
      <w:r w:rsidRPr="0027038D">
        <w:rPr>
          <w:rFonts w:ascii="Helvetica" w:eastAsia="宋体" w:hAnsi="Helvetica" w:cs="Helvetica"/>
          <w:color w:val="333333"/>
          <w:kern w:val="0"/>
          <w:szCs w:val="21"/>
        </w:rPr>
        <w:t>余项，其中：国家技术发明一等奖</w:t>
      </w:r>
      <w:r w:rsidRPr="0027038D">
        <w:rPr>
          <w:rFonts w:ascii="Helvetica" w:eastAsia="宋体" w:hAnsi="Helvetica" w:cs="Helvetica"/>
          <w:color w:val="333333"/>
          <w:kern w:val="0"/>
          <w:szCs w:val="21"/>
        </w:rPr>
        <w:t>2</w:t>
      </w:r>
      <w:r w:rsidRPr="0027038D">
        <w:rPr>
          <w:rFonts w:ascii="Helvetica" w:eastAsia="宋体" w:hAnsi="Helvetica" w:cs="Helvetica"/>
          <w:color w:val="333333"/>
          <w:kern w:val="0"/>
          <w:szCs w:val="21"/>
        </w:rPr>
        <w:t>项、二等奖</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项，国家自然科学二等奖</w:t>
      </w:r>
      <w:r w:rsidRPr="0027038D">
        <w:rPr>
          <w:rFonts w:ascii="Helvetica" w:eastAsia="宋体" w:hAnsi="Helvetica" w:cs="Helvetica"/>
          <w:color w:val="333333"/>
          <w:kern w:val="0"/>
          <w:szCs w:val="21"/>
        </w:rPr>
        <w:t>1</w:t>
      </w:r>
      <w:r w:rsidRPr="0027038D">
        <w:rPr>
          <w:rFonts w:ascii="Helvetica" w:eastAsia="宋体" w:hAnsi="Helvetica" w:cs="Helvetica"/>
          <w:color w:val="333333"/>
          <w:kern w:val="0"/>
          <w:szCs w:val="21"/>
        </w:rPr>
        <w:t>项，国家科技进步二等奖</w:t>
      </w:r>
      <w:r w:rsidRPr="0027038D">
        <w:rPr>
          <w:rFonts w:ascii="Helvetica" w:eastAsia="宋体" w:hAnsi="Helvetica" w:cs="Helvetica"/>
          <w:color w:val="333333"/>
          <w:kern w:val="0"/>
          <w:szCs w:val="21"/>
        </w:rPr>
        <w:t>16</w:t>
      </w:r>
      <w:r w:rsidRPr="0027038D">
        <w:rPr>
          <w:rFonts w:ascii="Helvetica" w:eastAsia="宋体" w:hAnsi="Helvetica" w:cs="Helvetica"/>
          <w:color w:val="333333"/>
          <w:kern w:val="0"/>
          <w:szCs w:val="21"/>
        </w:rPr>
        <w:t>项，四川省科技进步特等奖</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项、一等奖</w:t>
      </w:r>
      <w:r w:rsidRPr="0027038D">
        <w:rPr>
          <w:rFonts w:ascii="Helvetica" w:eastAsia="宋体" w:hAnsi="Helvetica" w:cs="Helvetica"/>
          <w:color w:val="333333"/>
          <w:kern w:val="0"/>
          <w:szCs w:val="21"/>
        </w:rPr>
        <w:t>53</w:t>
      </w:r>
      <w:r w:rsidRPr="0027038D">
        <w:rPr>
          <w:rFonts w:ascii="Helvetica" w:eastAsia="宋体" w:hAnsi="Helvetica" w:cs="Helvetica"/>
          <w:color w:val="333333"/>
          <w:kern w:val="0"/>
          <w:szCs w:val="21"/>
        </w:rPr>
        <w:t>项。</w:t>
      </w:r>
      <w:r w:rsidRPr="0027038D">
        <w:rPr>
          <w:rFonts w:ascii="Helvetica" w:eastAsia="宋体" w:hAnsi="Helvetica" w:cs="Helvetica"/>
          <w:color w:val="333333"/>
          <w:kern w:val="0"/>
          <w:szCs w:val="21"/>
        </w:rPr>
        <w:t>70%</w:t>
      </w:r>
      <w:r w:rsidRPr="0027038D">
        <w:rPr>
          <w:rFonts w:ascii="Helvetica" w:eastAsia="宋体" w:hAnsi="Helvetica" w:cs="Helvetica"/>
          <w:color w:val="333333"/>
          <w:kern w:val="0"/>
          <w:szCs w:val="21"/>
        </w:rPr>
        <w:t>左右的获奖成果得到推广转化，累计创社会经济效益</w:t>
      </w:r>
      <w:r w:rsidRPr="0027038D">
        <w:rPr>
          <w:rFonts w:ascii="Helvetica" w:eastAsia="宋体" w:hAnsi="Helvetica" w:cs="Helvetica"/>
          <w:color w:val="333333"/>
          <w:kern w:val="0"/>
          <w:szCs w:val="21"/>
        </w:rPr>
        <w:t>1000</w:t>
      </w:r>
      <w:r w:rsidRPr="0027038D">
        <w:rPr>
          <w:rFonts w:ascii="Helvetica" w:eastAsia="宋体" w:hAnsi="Helvetica" w:cs="Helvetica"/>
          <w:color w:val="333333"/>
          <w:kern w:val="0"/>
          <w:szCs w:val="21"/>
        </w:rPr>
        <w:t>多亿元。建有教育部农业部重点实验室</w:t>
      </w:r>
      <w:r w:rsidRPr="0027038D">
        <w:rPr>
          <w:rFonts w:ascii="Helvetica" w:eastAsia="宋体" w:hAnsi="Helvetica" w:cs="Helvetica"/>
          <w:color w:val="333333"/>
          <w:kern w:val="0"/>
          <w:szCs w:val="21"/>
        </w:rPr>
        <w:t>6</w:t>
      </w:r>
      <w:r w:rsidRPr="0027038D">
        <w:rPr>
          <w:rFonts w:ascii="Helvetica" w:eastAsia="宋体" w:hAnsi="Helvetica" w:cs="Helvetica"/>
          <w:color w:val="333333"/>
          <w:kern w:val="0"/>
          <w:szCs w:val="21"/>
        </w:rPr>
        <w:t>个，农业部科学观测实验站</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个，教育部农业部工程</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技术</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研究中心</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个，科技部条件平台</w:t>
      </w:r>
      <w:r w:rsidRPr="0027038D">
        <w:rPr>
          <w:rFonts w:ascii="Helvetica" w:eastAsia="宋体" w:hAnsi="Helvetica" w:cs="Helvetica"/>
          <w:color w:val="333333"/>
          <w:kern w:val="0"/>
          <w:szCs w:val="21"/>
        </w:rPr>
        <w:t>1</w:t>
      </w:r>
      <w:r w:rsidRPr="0027038D">
        <w:rPr>
          <w:rFonts w:ascii="Helvetica" w:eastAsia="宋体" w:hAnsi="Helvetica" w:cs="Helvetica"/>
          <w:color w:val="333333"/>
          <w:kern w:val="0"/>
          <w:szCs w:val="21"/>
        </w:rPr>
        <w:t>个，教育部科技部农业部创新团队</w:t>
      </w:r>
      <w:r w:rsidRPr="0027038D">
        <w:rPr>
          <w:rFonts w:ascii="Helvetica" w:eastAsia="宋体" w:hAnsi="Helvetica" w:cs="Helvetica"/>
          <w:color w:val="333333"/>
          <w:kern w:val="0"/>
          <w:szCs w:val="21"/>
        </w:rPr>
        <w:t>9</w:t>
      </w:r>
      <w:r w:rsidRPr="0027038D">
        <w:rPr>
          <w:rFonts w:ascii="Helvetica" w:eastAsia="宋体" w:hAnsi="Helvetica" w:cs="Helvetica"/>
          <w:color w:val="333333"/>
          <w:kern w:val="0"/>
          <w:szCs w:val="21"/>
        </w:rPr>
        <w:t>个，以及四川省重点</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高校</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实验室</w:t>
      </w:r>
      <w:r w:rsidRPr="0027038D">
        <w:rPr>
          <w:rFonts w:ascii="Helvetica" w:eastAsia="宋体" w:hAnsi="Helvetica" w:cs="Helvetica"/>
          <w:color w:val="333333"/>
          <w:kern w:val="0"/>
          <w:szCs w:val="21"/>
        </w:rPr>
        <w:t>24</w:t>
      </w:r>
      <w:r w:rsidRPr="0027038D">
        <w:rPr>
          <w:rFonts w:ascii="Helvetica" w:eastAsia="宋体" w:hAnsi="Helvetica" w:cs="Helvetica"/>
          <w:color w:val="333333"/>
          <w:kern w:val="0"/>
          <w:szCs w:val="21"/>
        </w:rPr>
        <w:t>个、工程</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技术</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研究中心</w:t>
      </w:r>
      <w:r w:rsidRPr="0027038D">
        <w:rPr>
          <w:rFonts w:ascii="Helvetica" w:eastAsia="宋体" w:hAnsi="Helvetica" w:cs="Helvetica"/>
          <w:color w:val="333333"/>
          <w:kern w:val="0"/>
          <w:szCs w:val="21"/>
        </w:rPr>
        <w:t>7</w:t>
      </w:r>
      <w:r w:rsidRPr="0027038D">
        <w:rPr>
          <w:rFonts w:ascii="Helvetica" w:eastAsia="宋体" w:hAnsi="Helvetica" w:cs="Helvetica"/>
          <w:color w:val="333333"/>
          <w:kern w:val="0"/>
          <w:szCs w:val="21"/>
        </w:rPr>
        <w:t>个、社科研究基地</w:t>
      </w:r>
      <w:r w:rsidRPr="0027038D">
        <w:rPr>
          <w:rFonts w:ascii="Helvetica" w:eastAsia="宋体" w:hAnsi="Helvetica" w:cs="Helvetica"/>
          <w:color w:val="333333"/>
          <w:kern w:val="0"/>
          <w:szCs w:val="21"/>
        </w:rPr>
        <w:t>4</w:t>
      </w:r>
      <w:r w:rsidRPr="0027038D">
        <w:rPr>
          <w:rFonts w:ascii="Helvetica" w:eastAsia="宋体" w:hAnsi="Helvetica" w:cs="Helvetica"/>
          <w:color w:val="333333"/>
          <w:kern w:val="0"/>
          <w:szCs w:val="21"/>
        </w:rPr>
        <w:t>个、国际科技合作基地</w:t>
      </w:r>
      <w:r w:rsidRPr="0027038D">
        <w:rPr>
          <w:rFonts w:ascii="Helvetica" w:eastAsia="宋体" w:hAnsi="Helvetica" w:cs="Helvetica"/>
          <w:color w:val="333333"/>
          <w:kern w:val="0"/>
          <w:szCs w:val="21"/>
        </w:rPr>
        <w:t>3</w:t>
      </w:r>
      <w:r w:rsidRPr="0027038D">
        <w:rPr>
          <w:rFonts w:ascii="Helvetica" w:eastAsia="宋体" w:hAnsi="Helvetica" w:cs="Helvetica"/>
          <w:color w:val="333333"/>
          <w:kern w:val="0"/>
          <w:szCs w:val="21"/>
        </w:rPr>
        <w:t>个、协同创新中心</w:t>
      </w:r>
      <w:r w:rsidRPr="0027038D">
        <w:rPr>
          <w:rFonts w:ascii="Helvetica" w:eastAsia="宋体" w:hAnsi="Helvetica" w:cs="Helvetica"/>
          <w:color w:val="333333"/>
          <w:kern w:val="0"/>
          <w:szCs w:val="21"/>
        </w:rPr>
        <w:t>4</w:t>
      </w:r>
      <w:r w:rsidRPr="0027038D">
        <w:rPr>
          <w:rFonts w:ascii="Helvetica" w:eastAsia="宋体" w:hAnsi="Helvetica" w:cs="Helvetica"/>
          <w:color w:val="333333"/>
          <w:kern w:val="0"/>
          <w:szCs w:val="21"/>
        </w:rPr>
        <w:t>个。主办的《四川农业大学学报》是全国中文核心期刊。学校还是全国首批成立新农村发展研究院的</w:t>
      </w:r>
      <w:r w:rsidRPr="0027038D">
        <w:rPr>
          <w:rFonts w:ascii="Helvetica" w:eastAsia="宋体" w:hAnsi="Helvetica" w:cs="Helvetica"/>
          <w:color w:val="333333"/>
          <w:kern w:val="0"/>
          <w:szCs w:val="21"/>
        </w:rPr>
        <w:t>10</w:t>
      </w:r>
      <w:r w:rsidRPr="0027038D">
        <w:rPr>
          <w:rFonts w:ascii="Helvetica" w:eastAsia="宋体" w:hAnsi="Helvetica" w:cs="Helvetica"/>
          <w:color w:val="333333"/>
          <w:kern w:val="0"/>
          <w:szCs w:val="21"/>
        </w:rPr>
        <w:t>所高校之一。</w:t>
      </w:r>
      <w:r w:rsidRPr="0027038D">
        <w:rPr>
          <w:rFonts w:ascii="Helvetica" w:eastAsia="宋体" w:hAnsi="Helvetica" w:cs="Helvetica"/>
          <w:color w:val="333333"/>
          <w:kern w:val="0"/>
          <w:szCs w:val="21"/>
        </w:rPr>
        <w:t xml:space="preserve"> </w:t>
      </w:r>
    </w:p>
    <w:p w:rsidR="0027038D" w:rsidRPr="0027038D" w:rsidRDefault="0027038D" w:rsidP="00157CF8">
      <w:pPr>
        <w:widowControl/>
        <w:shd w:val="clear" w:color="auto" w:fill="FFFFFF"/>
        <w:spacing w:after="150" w:line="360" w:lineRule="auto"/>
        <w:ind w:firstLineChars="202" w:firstLine="426"/>
        <w:jc w:val="left"/>
        <w:rPr>
          <w:rFonts w:ascii="Helvetica" w:eastAsia="宋体" w:hAnsi="Helvetica" w:cs="Helvetica"/>
          <w:color w:val="333333"/>
          <w:kern w:val="0"/>
          <w:szCs w:val="21"/>
        </w:rPr>
      </w:pPr>
      <w:r w:rsidRPr="0027038D">
        <w:rPr>
          <w:rFonts w:ascii="Helvetica" w:eastAsia="宋体" w:hAnsi="Helvetica" w:cs="Helvetica"/>
          <w:b/>
          <w:bCs/>
          <w:color w:val="333333"/>
          <w:kern w:val="0"/>
          <w:szCs w:val="21"/>
        </w:rPr>
        <w:t>对外交流广泛、形式多样。</w:t>
      </w:r>
      <w:r w:rsidR="00A73133" w:rsidRPr="00A73133">
        <w:rPr>
          <w:rFonts w:ascii="Helvetica" w:hAnsi="Helvetica" w:cs="Helvetica"/>
          <w:color w:val="333333"/>
          <w:szCs w:val="21"/>
        </w:rPr>
        <w:t>学校</w:t>
      </w:r>
      <w:r w:rsidRPr="0027038D">
        <w:rPr>
          <w:rFonts w:ascii="Helvetica" w:eastAsia="宋体" w:hAnsi="Helvetica" w:cs="Helvetica"/>
          <w:color w:val="333333"/>
          <w:kern w:val="0"/>
          <w:szCs w:val="21"/>
        </w:rPr>
        <w:t>与美国、英国、法国、德国、加拿大、俄罗斯、日本、韩国和香港、台湾等</w:t>
      </w:r>
      <w:r w:rsidRPr="0027038D">
        <w:rPr>
          <w:rFonts w:ascii="Helvetica" w:eastAsia="宋体" w:hAnsi="Helvetica" w:cs="Helvetica"/>
          <w:color w:val="333333"/>
          <w:kern w:val="0"/>
          <w:szCs w:val="21"/>
        </w:rPr>
        <w:t>20</w:t>
      </w:r>
      <w:r w:rsidRPr="0027038D">
        <w:rPr>
          <w:rFonts w:ascii="Helvetica" w:eastAsia="宋体" w:hAnsi="Helvetica" w:cs="Helvetica"/>
          <w:color w:val="333333"/>
          <w:kern w:val="0"/>
          <w:szCs w:val="21"/>
        </w:rPr>
        <w:t>多个国家和地区的</w:t>
      </w:r>
      <w:r w:rsidRPr="0027038D">
        <w:rPr>
          <w:rFonts w:ascii="Helvetica" w:eastAsia="宋体" w:hAnsi="Helvetica" w:cs="Helvetica"/>
          <w:color w:val="333333"/>
          <w:kern w:val="0"/>
          <w:szCs w:val="21"/>
        </w:rPr>
        <w:t>30</w:t>
      </w:r>
      <w:r w:rsidRPr="0027038D">
        <w:rPr>
          <w:rFonts w:ascii="Helvetica" w:eastAsia="宋体" w:hAnsi="Helvetica" w:cs="Helvetica"/>
          <w:color w:val="333333"/>
          <w:kern w:val="0"/>
          <w:szCs w:val="21"/>
        </w:rPr>
        <w:t>余所科研院所建立了交流与合作关系。学校是全国首批有条件接受留学生的</w:t>
      </w:r>
      <w:r w:rsidRPr="0027038D">
        <w:rPr>
          <w:rFonts w:ascii="Helvetica" w:eastAsia="宋体" w:hAnsi="Helvetica" w:cs="Helvetica"/>
          <w:color w:val="333333"/>
          <w:kern w:val="0"/>
          <w:szCs w:val="21"/>
        </w:rPr>
        <w:t>200</w:t>
      </w:r>
      <w:r w:rsidRPr="0027038D">
        <w:rPr>
          <w:rFonts w:ascii="Helvetica" w:eastAsia="宋体" w:hAnsi="Helvetica" w:cs="Helvetica"/>
          <w:color w:val="333333"/>
          <w:kern w:val="0"/>
          <w:szCs w:val="21"/>
        </w:rPr>
        <w:t>所高校之一，还是国家建设高水平大学公派研究生项目签约高校。</w:t>
      </w:r>
      <w:r w:rsidRPr="0027038D">
        <w:rPr>
          <w:rFonts w:ascii="Helvetica" w:eastAsia="宋体" w:hAnsi="Helvetica" w:cs="Helvetica"/>
          <w:color w:val="333333"/>
          <w:kern w:val="0"/>
          <w:szCs w:val="21"/>
        </w:rPr>
        <w:t xml:space="preserve"> </w:t>
      </w:r>
    </w:p>
    <w:p w:rsidR="0027038D" w:rsidRPr="0027038D" w:rsidRDefault="0027038D" w:rsidP="00157CF8">
      <w:pPr>
        <w:widowControl/>
        <w:shd w:val="clear" w:color="auto" w:fill="FFFFFF"/>
        <w:spacing w:line="360" w:lineRule="auto"/>
        <w:ind w:firstLineChars="202" w:firstLine="424"/>
        <w:jc w:val="left"/>
        <w:rPr>
          <w:rFonts w:ascii="Helvetica" w:eastAsia="宋体" w:hAnsi="Helvetica" w:cs="Helvetica"/>
          <w:color w:val="333333"/>
          <w:kern w:val="0"/>
          <w:szCs w:val="21"/>
        </w:rPr>
      </w:pPr>
      <w:r w:rsidRPr="0027038D">
        <w:rPr>
          <w:rFonts w:ascii="Helvetica" w:eastAsia="宋体" w:hAnsi="Helvetica" w:cs="Helvetica"/>
          <w:color w:val="333333"/>
          <w:kern w:val="0"/>
          <w:szCs w:val="21"/>
        </w:rPr>
        <w:t>在新的历史起点上，学校将始终坚持学生为本、学术为天、学科为纲、学者为上的办学理念，大力弘扬</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爱国敬业、艰苦奋斗、团结拼搏、求实创新</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的</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川农大精神</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，继续秉承</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追求真理、造福社会、自强不息</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的校训，坚定不移地走以提高质量为核心的内涵式发展道路，持续推进有特色高水平</w:t>
      </w:r>
      <w:r w:rsidRPr="0027038D">
        <w:rPr>
          <w:rFonts w:ascii="Helvetica" w:eastAsia="宋体" w:hAnsi="Helvetica" w:cs="Helvetica"/>
          <w:color w:val="333333"/>
          <w:kern w:val="0"/>
          <w:szCs w:val="21"/>
        </w:rPr>
        <w:t>“211</w:t>
      </w:r>
      <w:r w:rsidRPr="0027038D">
        <w:rPr>
          <w:rFonts w:ascii="Helvetica" w:eastAsia="宋体" w:hAnsi="Helvetica" w:cs="Helvetica"/>
          <w:color w:val="333333"/>
          <w:kern w:val="0"/>
          <w:szCs w:val="21"/>
        </w:rPr>
        <w:t>工程</w:t>
      </w:r>
      <w:r w:rsidRPr="0027038D">
        <w:rPr>
          <w:rFonts w:ascii="Helvetica" w:eastAsia="宋体" w:hAnsi="Helvetica" w:cs="Helvetica"/>
          <w:color w:val="333333"/>
          <w:kern w:val="0"/>
          <w:szCs w:val="21"/>
        </w:rPr>
        <w:t>”</w:t>
      </w:r>
      <w:r w:rsidRPr="0027038D">
        <w:rPr>
          <w:rFonts w:ascii="Helvetica" w:eastAsia="宋体" w:hAnsi="Helvetica" w:cs="Helvetica"/>
          <w:color w:val="333333"/>
          <w:kern w:val="0"/>
          <w:szCs w:val="21"/>
        </w:rPr>
        <w:t>大学建设，努力为区域经济社会发展作出新的更大贡献。</w:t>
      </w:r>
    </w:p>
    <w:p w:rsidR="007778DF" w:rsidRPr="00AB4A74" w:rsidRDefault="005E1247" w:rsidP="00C76924">
      <w:pPr>
        <w:spacing w:line="360" w:lineRule="auto"/>
        <w:outlineLvl w:val="0"/>
        <w:rPr>
          <w:b/>
          <w:szCs w:val="21"/>
        </w:rPr>
      </w:pPr>
      <w:r>
        <w:rPr>
          <w:b/>
          <w:szCs w:val="21"/>
        </w:rPr>
        <w:t>二</w:t>
      </w:r>
      <w:r w:rsidR="00F257B9" w:rsidRPr="00AB4A74">
        <w:rPr>
          <w:b/>
          <w:szCs w:val="21"/>
        </w:rPr>
        <w:t>、学校学科整体实力稳步提升</w:t>
      </w:r>
    </w:p>
    <w:p w:rsidR="00F257B9" w:rsidRPr="004F2002" w:rsidRDefault="00F257B9" w:rsidP="00157CF8">
      <w:pPr>
        <w:spacing w:line="360" w:lineRule="auto"/>
        <w:ind w:left="2" w:firstLineChars="201" w:firstLine="422"/>
        <w:rPr>
          <w:szCs w:val="21"/>
        </w:rPr>
      </w:pPr>
      <w:r w:rsidRPr="004F2002">
        <w:rPr>
          <w:rFonts w:hint="eastAsia"/>
          <w:szCs w:val="21"/>
        </w:rPr>
        <w:t>学校</w:t>
      </w:r>
      <w:r w:rsidRPr="004F2002">
        <w:rPr>
          <w:szCs w:val="21"/>
        </w:rPr>
        <w:t>明确把学科建设摆在</w:t>
      </w:r>
      <w:r w:rsidRPr="004F2002" w:rsidDel="0078331A">
        <w:rPr>
          <w:rFonts w:hint="eastAsia"/>
          <w:szCs w:val="21"/>
        </w:rPr>
        <w:t xml:space="preserve"> </w:t>
      </w:r>
      <w:r w:rsidRPr="004F2002">
        <w:rPr>
          <w:szCs w:val="21"/>
        </w:rPr>
        <w:t>“</w:t>
      </w:r>
      <w:r w:rsidRPr="004F2002">
        <w:rPr>
          <w:szCs w:val="21"/>
        </w:rPr>
        <w:t>龙头</w:t>
      </w:r>
      <w:r w:rsidRPr="004F2002">
        <w:rPr>
          <w:szCs w:val="21"/>
        </w:rPr>
        <w:t>”</w:t>
      </w:r>
      <w:r w:rsidRPr="004F2002">
        <w:rPr>
          <w:szCs w:val="21"/>
        </w:rPr>
        <w:t>、</w:t>
      </w:r>
      <w:r w:rsidRPr="004F2002">
        <w:rPr>
          <w:szCs w:val="21"/>
        </w:rPr>
        <w:t>“</w:t>
      </w:r>
      <w:r w:rsidRPr="004F2002">
        <w:rPr>
          <w:szCs w:val="21"/>
        </w:rPr>
        <w:t>重中之重</w:t>
      </w:r>
      <w:r w:rsidRPr="004F2002">
        <w:rPr>
          <w:szCs w:val="21"/>
        </w:rPr>
        <w:t>”</w:t>
      </w:r>
      <w:r w:rsidRPr="004F2002">
        <w:rPr>
          <w:szCs w:val="21"/>
        </w:rPr>
        <w:t>的位置，</w:t>
      </w:r>
      <w:r w:rsidRPr="004F2002">
        <w:rPr>
          <w:rFonts w:hint="eastAsia"/>
          <w:szCs w:val="21"/>
        </w:rPr>
        <w:t>始终坚持</w:t>
      </w:r>
      <w:r w:rsidRPr="004F2002">
        <w:rPr>
          <w:szCs w:val="21"/>
        </w:rPr>
        <w:t>“</w:t>
      </w:r>
      <w:r w:rsidRPr="004F2002">
        <w:rPr>
          <w:szCs w:val="21"/>
        </w:rPr>
        <w:t>以学科建设为</w:t>
      </w:r>
      <w:r w:rsidRPr="004F2002">
        <w:rPr>
          <w:rFonts w:hint="eastAsia"/>
          <w:szCs w:val="21"/>
        </w:rPr>
        <w:t>纲</w:t>
      </w:r>
      <w:r w:rsidRPr="004F2002">
        <w:rPr>
          <w:szCs w:val="21"/>
        </w:rPr>
        <w:t>”</w:t>
      </w:r>
      <w:r w:rsidRPr="004F2002">
        <w:rPr>
          <w:szCs w:val="21"/>
        </w:rPr>
        <w:t>，真正把它作为工作的中心，常抓不懈</w:t>
      </w:r>
      <w:r w:rsidRPr="004F2002">
        <w:rPr>
          <w:rFonts w:hint="eastAsia"/>
          <w:szCs w:val="21"/>
        </w:rPr>
        <w:t>。结合“</w:t>
      </w:r>
      <w:r w:rsidRPr="004F2002">
        <w:rPr>
          <w:rFonts w:hint="eastAsia"/>
          <w:szCs w:val="21"/>
        </w:rPr>
        <w:t>211</w:t>
      </w:r>
      <w:r w:rsidRPr="004F2002">
        <w:rPr>
          <w:rFonts w:hint="eastAsia"/>
          <w:szCs w:val="21"/>
        </w:rPr>
        <w:t>工程”、国家重点学科、省重点学科、学位授予体系建设，学校学科领域有较大拓展，学科层次更加鲜明，学科在学术队伍、科学研究、人才培养、条件建设等方面也均有了较大进步和明显的改善。</w:t>
      </w:r>
    </w:p>
    <w:p w:rsidR="00F257B9" w:rsidRDefault="00F257B9" w:rsidP="00157CF8">
      <w:pPr>
        <w:spacing w:line="360" w:lineRule="auto"/>
        <w:ind w:left="2" w:firstLineChars="201" w:firstLine="422"/>
        <w:rPr>
          <w:szCs w:val="21"/>
        </w:rPr>
      </w:pPr>
      <w:r w:rsidRPr="004F2002">
        <w:rPr>
          <w:rFonts w:hint="eastAsia"/>
          <w:szCs w:val="21"/>
        </w:rPr>
        <w:t>学校</w:t>
      </w:r>
      <w:r w:rsidRPr="004F2002">
        <w:rPr>
          <w:rFonts w:hint="eastAsia"/>
          <w:szCs w:val="21"/>
        </w:rPr>
        <w:t>2011-2012</w:t>
      </w:r>
      <w:r w:rsidRPr="004F2002">
        <w:rPr>
          <w:rFonts w:hint="eastAsia"/>
          <w:szCs w:val="21"/>
        </w:rPr>
        <w:t>年组织</w:t>
      </w:r>
      <w:r w:rsidRPr="004F2002">
        <w:rPr>
          <w:szCs w:val="21"/>
        </w:rPr>
        <w:t>作物学、畜牧学、林学、兽医学、风景园林学、草学</w:t>
      </w:r>
      <w:r w:rsidRPr="004F2002">
        <w:rPr>
          <w:szCs w:val="21"/>
        </w:rPr>
        <w:t>6</w:t>
      </w:r>
      <w:r w:rsidRPr="004F2002">
        <w:rPr>
          <w:szCs w:val="21"/>
        </w:rPr>
        <w:t>个一级学科参与了</w:t>
      </w:r>
      <w:r w:rsidRPr="004F2002">
        <w:rPr>
          <w:rFonts w:hint="eastAsia"/>
          <w:szCs w:val="21"/>
        </w:rPr>
        <w:t>教育部学位与研究生教育发展中心组织的</w:t>
      </w:r>
      <w:r w:rsidRPr="004F2002">
        <w:rPr>
          <w:szCs w:val="21"/>
        </w:rPr>
        <w:t>第三轮学科评估</w:t>
      </w:r>
      <w:r w:rsidRPr="004F2002">
        <w:rPr>
          <w:rFonts w:hint="eastAsia"/>
          <w:szCs w:val="21"/>
        </w:rPr>
        <w:t>。各学科的整体水平评分排名分列第四到第七，表明学校一级学科的建设水平在同类学科中具有一定的实力。与此同时，学校学科在国际学科排名中也崭露头角。</w:t>
      </w:r>
      <w:r w:rsidRPr="004F2002">
        <w:rPr>
          <w:rFonts w:hint="eastAsia"/>
          <w:szCs w:val="21"/>
        </w:rPr>
        <w:t>2015</w:t>
      </w:r>
      <w:r w:rsidRPr="004F2002">
        <w:rPr>
          <w:rFonts w:hint="eastAsia"/>
          <w:szCs w:val="21"/>
        </w:rPr>
        <w:t>年，根据美国</w:t>
      </w:r>
      <w:r w:rsidRPr="004F2002">
        <w:rPr>
          <w:rFonts w:hint="eastAsia"/>
          <w:szCs w:val="21"/>
        </w:rPr>
        <w:t>ESI</w:t>
      </w:r>
      <w:r w:rsidRPr="004F2002">
        <w:rPr>
          <w:rFonts w:hint="eastAsia"/>
          <w:szCs w:val="21"/>
        </w:rPr>
        <w:t>（</w:t>
      </w:r>
      <w:r w:rsidRPr="004F2002">
        <w:rPr>
          <w:rFonts w:hint="eastAsia"/>
          <w:szCs w:val="21"/>
        </w:rPr>
        <w:t>Essential Science Indicators</w:t>
      </w:r>
      <w:r w:rsidRPr="004F2002">
        <w:rPr>
          <w:rFonts w:hint="eastAsia"/>
          <w:szCs w:val="21"/>
        </w:rPr>
        <w:t>，基本科学指标库）</w:t>
      </w:r>
      <w:r w:rsidRPr="004F2002">
        <w:rPr>
          <w:rFonts w:hint="eastAsia"/>
          <w:szCs w:val="21"/>
        </w:rPr>
        <w:t>7-11</w:t>
      </w:r>
      <w:r w:rsidRPr="004F2002">
        <w:rPr>
          <w:rFonts w:hint="eastAsia"/>
          <w:szCs w:val="21"/>
        </w:rPr>
        <w:t>月公布的最新数据显示，学校农业科学、植物学与动物学</w:t>
      </w:r>
      <w:r w:rsidRPr="004F2002">
        <w:rPr>
          <w:rFonts w:hint="eastAsia"/>
          <w:szCs w:val="21"/>
        </w:rPr>
        <w:t>2</w:t>
      </w:r>
      <w:r w:rsidRPr="004F2002">
        <w:rPr>
          <w:rFonts w:hint="eastAsia"/>
          <w:szCs w:val="21"/>
        </w:rPr>
        <w:t>个学科的</w:t>
      </w:r>
      <w:r w:rsidRPr="004F2002">
        <w:rPr>
          <w:rFonts w:hint="eastAsia"/>
          <w:szCs w:val="21"/>
        </w:rPr>
        <w:t>ESI</w:t>
      </w:r>
      <w:r w:rsidRPr="004F2002">
        <w:rPr>
          <w:rFonts w:hint="eastAsia"/>
          <w:szCs w:val="21"/>
        </w:rPr>
        <w:t>排名进入全球大学和科研机构前</w:t>
      </w:r>
      <w:r w:rsidRPr="004F2002">
        <w:rPr>
          <w:rFonts w:hint="eastAsia"/>
          <w:szCs w:val="21"/>
        </w:rPr>
        <w:t>1%</w:t>
      </w:r>
      <w:r w:rsidRPr="004F2002">
        <w:rPr>
          <w:rFonts w:hint="eastAsia"/>
          <w:szCs w:val="21"/>
        </w:rPr>
        <w:t>（具体排名见表</w:t>
      </w:r>
      <w:r w:rsidR="00E551D9" w:rsidRPr="004F2002">
        <w:rPr>
          <w:szCs w:val="21"/>
        </w:rPr>
        <w:t>2</w:t>
      </w:r>
      <w:r w:rsidRPr="004F2002">
        <w:rPr>
          <w:rFonts w:hint="eastAsia"/>
          <w:szCs w:val="21"/>
        </w:rPr>
        <w:t>），</w:t>
      </w:r>
      <w:r w:rsidRPr="004F2002">
        <w:rPr>
          <w:rFonts w:hint="eastAsia"/>
          <w:szCs w:val="21"/>
        </w:rPr>
        <w:t>10</w:t>
      </w:r>
      <w:r w:rsidRPr="004F2002">
        <w:rPr>
          <w:rFonts w:hint="eastAsia"/>
          <w:szCs w:val="21"/>
        </w:rPr>
        <w:t>年间（</w:t>
      </w:r>
      <w:r w:rsidRPr="004F2002">
        <w:rPr>
          <w:rFonts w:hint="eastAsia"/>
          <w:szCs w:val="21"/>
        </w:rPr>
        <w:t>2005</w:t>
      </w:r>
      <w:r w:rsidRPr="004F2002">
        <w:rPr>
          <w:rFonts w:hint="eastAsia"/>
          <w:szCs w:val="21"/>
        </w:rPr>
        <w:t>年</w:t>
      </w:r>
      <w:r w:rsidRPr="004F2002">
        <w:rPr>
          <w:rFonts w:hint="eastAsia"/>
          <w:szCs w:val="21"/>
        </w:rPr>
        <w:t>1</w:t>
      </w:r>
      <w:r w:rsidRPr="004F2002">
        <w:rPr>
          <w:rFonts w:hint="eastAsia"/>
          <w:szCs w:val="21"/>
        </w:rPr>
        <w:t>月</w:t>
      </w:r>
      <w:r w:rsidRPr="004F2002">
        <w:rPr>
          <w:rFonts w:hint="eastAsia"/>
          <w:szCs w:val="21"/>
        </w:rPr>
        <w:t>1</w:t>
      </w:r>
      <w:r w:rsidRPr="004F2002">
        <w:rPr>
          <w:rFonts w:hint="eastAsia"/>
          <w:szCs w:val="21"/>
        </w:rPr>
        <w:t>日至</w:t>
      </w:r>
      <w:r w:rsidRPr="004F2002">
        <w:rPr>
          <w:rFonts w:hint="eastAsia"/>
          <w:szCs w:val="21"/>
        </w:rPr>
        <w:t>2015</w:t>
      </w:r>
      <w:r w:rsidRPr="004F2002">
        <w:rPr>
          <w:rFonts w:hint="eastAsia"/>
          <w:szCs w:val="21"/>
        </w:rPr>
        <w:t>年</w:t>
      </w:r>
      <w:r w:rsidRPr="004F2002">
        <w:rPr>
          <w:rFonts w:hint="eastAsia"/>
          <w:szCs w:val="21"/>
        </w:rPr>
        <w:t>8</w:t>
      </w:r>
      <w:r w:rsidRPr="004F2002">
        <w:rPr>
          <w:rFonts w:hint="eastAsia"/>
          <w:szCs w:val="21"/>
        </w:rPr>
        <w:t>月</w:t>
      </w:r>
      <w:r w:rsidRPr="004F2002">
        <w:rPr>
          <w:rFonts w:hint="eastAsia"/>
          <w:szCs w:val="21"/>
        </w:rPr>
        <w:t>31</w:t>
      </w:r>
      <w:r w:rsidRPr="004F2002">
        <w:rPr>
          <w:rFonts w:hint="eastAsia"/>
          <w:szCs w:val="21"/>
        </w:rPr>
        <w:t>日）被</w:t>
      </w:r>
      <w:r w:rsidRPr="004F2002">
        <w:rPr>
          <w:rFonts w:hint="eastAsia"/>
          <w:szCs w:val="21"/>
        </w:rPr>
        <w:t>SCI</w:t>
      </w:r>
      <w:r w:rsidRPr="004F2002">
        <w:rPr>
          <w:rFonts w:hint="eastAsia"/>
          <w:szCs w:val="21"/>
        </w:rPr>
        <w:t>和</w:t>
      </w:r>
      <w:r w:rsidRPr="004F2002">
        <w:rPr>
          <w:rFonts w:hint="eastAsia"/>
          <w:szCs w:val="21"/>
        </w:rPr>
        <w:t>SSCI</w:t>
      </w:r>
      <w:r w:rsidRPr="004F2002">
        <w:rPr>
          <w:rFonts w:hint="eastAsia"/>
          <w:szCs w:val="21"/>
        </w:rPr>
        <w:t>收录论文</w:t>
      </w:r>
      <w:r w:rsidRPr="004F2002">
        <w:rPr>
          <w:rFonts w:hint="eastAsia"/>
          <w:szCs w:val="21"/>
        </w:rPr>
        <w:t>2881</w:t>
      </w:r>
      <w:r w:rsidRPr="004F2002">
        <w:rPr>
          <w:rFonts w:hint="eastAsia"/>
          <w:szCs w:val="21"/>
        </w:rPr>
        <w:t>篇，论文总被引次数</w:t>
      </w:r>
      <w:r w:rsidRPr="004F2002">
        <w:rPr>
          <w:rFonts w:hint="eastAsia"/>
          <w:szCs w:val="21"/>
        </w:rPr>
        <w:t>14533</w:t>
      </w:r>
      <w:r w:rsidRPr="004F2002">
        <w:rPr>
          <w:rFonts w:hint="eastAsia"/>
          <w:szCs w:val="21"/>
        </w:rPr>
        <w:t>次，篇均被引次数</w:t>
      </w:r>
      <w:r w:rsidRPr="004F2002">
        <w:rPr>
          <w:rFonts w:hint="eastAsia"/>
          <w:szCs w:val="21"/>
        </w:rPr>
        <w:t>5.04</w:t>
      </w:r>
      <w:r w:rsidRPr="004F2002">
        <w:rPr>
          <w:rFonts w:hint="eastAsia"/>
          <w:szCs w:val="21"/>
        </w:rPr>
        <w:t>次，这标志着上述</w:t>
      </w:r>
      <w:r w:rsidRPr="004F2002">
        <w:rPr>
          <w:rFonts w:hint="eastAsia"/>
          <w:szCs w:val="21"/>
        </w:rPr>
        <w:t>2</w:t>
      </w:r>
      <w:r w:rsidRPr="004F2002">
        <w:rPr>
          <w:rFonts w:hint="eastAsia"/>
          <w:szCs w:val="21"/>
        </w:rPr>
        <w:t>个学科已进入国际高水平学科行列。</w:t>
      </w:r>
      <w:r w:rsidRPr="004F2002">
        <w:rPr>
          <w:rFonts w:hint="eastAsia"/>
          <w:szCs w:val="21"/>
        </w:rPr>
        <w:t>ESI</w:t>
      </w:r>
      <w:r w:rsidRPr="004F2002">
        <w:rPr>
          <w:rFonts w:hint="eastAsia"/>
          <w:szCs w:val="21"/>
        </w:rPr>
        <w:t>的学科排名充分表明学校以农业科学、植物学与动物学为代表的学科建设已步入又好又快发展时期，科研实力和学术影响力进一步显著提高，为推进一流农业大学和一流学科建设奠定了坚实基础。</w:t>
      </w:r>
    </w:p>
    <w:p w:rsidR="00F72DD7" w:rsidRDefault="00F72DD7" w:rsidP="00157CF8">
      <w:pPr>
        <w:spacing w:line="360" w:lineRule="auto"/>
        <w:ind w:left="2" w:firstLineChars="201" w:firstLine="422"/>
        <w:rPr>
          <w:szCs w:val="21"/>
        </w:rPr>
      </w:pPr>
    </w:p>
    <w:p w:rsidR="00F72DD7" w:rsidRDefault="00F72DD7" w:rsidP="00157CF8">
      <w:pPr>
        <w:spacing w:line="360" w:lineRule="auto"/>
        <w:ind w:left="2" w:firstLineChars="201" w:firstLine="422"/>
        <w:rPr>
          <w:szCs w:val="21"/>
        </w:rPr>
      </w:pPr>
    </w:p>
    <w:p w:rsidR="00F72DD7" w:rsidRPr="004F2002" w:rsidRDefault="00F72DD7" w:rsidP="00157CF8">
      <w:pPr>
        <w:spacing w:line="360" w:lineRule="auto"/>
        <w:ind w:left="2" w:firstLineChars="201" w:firstLine="422"/>
        <w:rPr>
          <w:szCs w:val="21"/>
        </w:rPr>
      </w:pPr>
    </w:p>
    <w:p w:rsidR="00BD05F3" w:rsidRPr="00E551D9" w:rsidRDefault="00BD05F3" w:rsidP="00BD05F3">
      <w:pPr>
        <w:spacing w:afterLines="50" w:after="156" w:line="360" w:lineRule="auto"/>
        <w:jc w:val="center"/>
        <w:rPr>
          <w:b/>
          <w:bCs/>
          <w:szCs w:val="21"/>
        </w:rPr>
      </w:pPr>
      <w:r w:rsidRPr="00E551D9">
        <w:rPr>
          <w:b/>
          <w:bCs/>
          <w:szCs w:val="21"/>
        </w:rPr>
        <w:lastRenderedPageBreak/>
        <w:t>表</w:t>
      </w:r>
      <w:r>
        <w:rPr>
          <w:b/>
          <w:bCs/>
          <w:szCs w:val="21"/>
        </w:rPr>
        <w:t>2</w:t>
      </w:r>
      <w:r w:rsidR="00FC6EBC">
        <w:rPr>
          <w:b/>
          <w:bCs/>
          <w:szCs w:val="21"/>
        </w:rPr>
        <w:t xml:space="preserve"> </w:t>
      </w:r>
      <w:r w:rsidRPr="00E551D9">
        <w:rPr>
          <w:b/>
          <w:bCs/>
          <w:szCs w:val="21"/>
        </w:rPr>
        <w:t>2015</w:t>
      </w:r>
      <w:r w:rsidRPr="00E551D9">
        <w:rPr>
          <w:b/>
          <w:bCs/>
          <w:szCs w:val="21"/>
        </w:rPr>
        <w:t>年</w:t>
      </w:r>
      <w:r w:rsidRPr="00E551D9">
        <w:rPr>
          <w:rFonts w:hint="eastAsia"/>
          <w:b/>
          <w:bCs/>
          <w:szCs w:val="21"/>
        </w:rPr>
        <w:t>9</w:t>
      </w:r>
      <w:r w:rsidRPr="00E551D9">
        <w:rPr>
          <w:b/>
          <w:bCs/>
          <w:szCs w:val="21"/>
        </w:rPr>
        <w:t>-11</w:t>
      </w:r>
      <w:r w:rsidRPr="00E551D9">
        <w:rPr>
          <w:b/>
          <w:bCs/>
          <w:szCs w:val="21"/>
        </w:rPr>
        <w:t>月</w:t>
      </w:r>
      <w:r w:rsidRPr="00E551D9">
        <w:rPr>
          <w:b/>
          <w:bCs/>
          <w:szCs w:val="21"/>
        </w:rPr>
        <w:t>ESI</w:t>
      </w:r>
      <w:r w:rsidRPr="00E551D9">
        <w:rPr>
          <w:b/>
          <w:bCs/>
          <w:szCs w:val="21"/>
        </w:rPr>
        <w:t>学科排名情况</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134"/>
        <w:gridCol w:w="709"/>
        <w:gridCol w:w="709"/>
        <w:gridCol w:w="850"/>
        <w:gridCol w:w="709"/>
        <w:gridCol w:w="709"/>
        <w:gridCol w:w="850"/>
        <w:gridCol w:w="851"/>
        <w:gridCol w:w="850"/>
      </w:tblGrid>
      <w:tr w:rsidR="00BD05F3" w:rsidRPr="00E551D9" w:rsidTr="00735A8E">
        <w:trPr>
          <w:trHeight w:val="454"/>
          <w:jc w:val="center"/>
        </w:trPr>
        <w:tc>
          <w:tcPr>
            <w:tcW w:w="1242" w:type="dxa"/>
            <w:vAlign w:val="center"/>
          </w:tcPr>
          <w:p w:rsidR="00BD05F3" w:rsidRPr="00E551D9" w:rsidRDefault="00BD05F3" w:rsidP="00735A8E">
            <w:pPr>
              <w:spacing w:line="360" w:lineRule="auto"/>
              <w:jc w:val="center"/>
              <w:rPr>
                <w:b/>
                <w:bCs/>
                <w:szCs w:val="21"/>
              </w:rPr>
            </w:pPr>
            <w:r w:rsidRPr="00E551D9">
              <w:rPr>
                <w:b/>
                <w:bCs/>
                <w:szCs w:val="21"/>
              </w:rPr>
              <w:t>学科名称</w:t>
            </w:r>
          </w:p>
        </w:tc>
        <w:tc>
          <w:tcPr>
            <w:tcW w:w="1134" w:type="dxa"/>
            <w:vAlign w:val="center"/>
          </w:tcPr>
          <w:p w:rsidR="00BD05F3" w:rsidRPr="00E551D9" w:rsidRDefault="00BD05F3" w:rsidP="00735A8E">
            <w:pPr>
              <w:spacing w:line="360" w:lineRule="auto"/>
              <w:jc w:val="center"/>
              <w:rPr>
                <w:b/>
                <w:bCs/>
                <w:szCs w:val="21"/>
              </w:rPr>
            </w:pPr>
            <w:r w:rsidRPr="00E551D9">
              <w:rPr>
                <w:b/>
                <w:bCs/>
                <w:szCs w:val="21"/>
              </w:rPr>
              <w:t>检索时间</w:t>
            </w:r>
          </w:p>
        </w:tc>
        <w:tc>
          <w:tcPr>
            <w:tcW w:w="1418" w:type="dxa"/>
            <w:gridSpan w:val="2"/>
            <w:vAlign w:val="center"/>
          </w:tcPr>
          <w:p w:rsidR="00BD05F3" w:rsidRPr="00E551D9" w:rsidRDefault="00BD05F3" w:rsidP="00735A8E">
            <w:pPr>
              <w:spacing w:line="360" w:lineRule="auto"/>
              <w:jc w:val="center"/>
              <w:rPr>
                <w:b/>
                <w:bCs/>
                <w:szCs w:val="21"/>
              </w:rPr>
            </w:pPr>
            <w:r w:rsidRPr="00E551D9">
              <w:rPr>
                <w:b/>
                <w:bCs/>
                <w:szCs w:val="21"/>
              </w:rPr>
              <w:t>全球排名</w:t>
            </w:r>
          </w:p>
        </w:tc>
        <w:tc>
          <w:tcPr>
            <w:tcW w:w="1559" w:type="dxa"/>
            <w:gridSpan w:val="2"/>
            <w:vAlign w:val="center"/>
          </w:tcPr>
          <w:p w:rsidR="00BD05F3" w:rsidRPr="00E551D9" w:rsidRDefault="00BD05F3" w:rsidP="00735A8E">
            <w:pPr>
              <w:spacing w:line="360" w:lineRule="auto"/>
              <w:jc w:val="center"/>
              <w:rPr>
                <w:b/>
                <w:bCs/>
                <w:szCs w:val="21"/>
              </w:rPr>
            </w:pPr>
            <w:r w:rsidRPr="00E551D9">
              <w:rPr>
                <w:b/>
                <w:bCs/>
                <w:szCs w:val="21"/>
              </w:rPr>
              <w:t>论文数</w:t>
            </w:r>
          </w:p>
        </w:tc>
        <w:tc>
          <w:tcPr>
            <w:tcW w:w="1559" w:type="dxa"/>
            <w:gridSpan w:val="2"/>
            <w:vAlign w:val="center"/>
          </w:tcPr>
          <w:p w:rsidR="00BD05F3" w:rsidRPr="00E551D9" w:rsidRDefault="00BD05F3" w:rsidP="00735A8E">
            <w:pPr>
              <w:spacing w:line="360" w:lineRule="auto"/>
              <w:jc w:val="center"/>
              <w:rPr>
                <w:b/>
                <w:bCs/>
                <w:szCs w:val="21"/>
              </w:rPr>
            </w:pPr>
            <w:r w:rsidRPr="00E551D9">
              <w:rPr>
                <w:b/>
                <w:bCs/>
                <w:szCs w:val="21"/>
              </w:rPr>
              <w:t>总引用率</w:t>
            </w:r>
          </w:p>
        </w:tc>
        <w:tc>
          <w:tcPr>
            <w:tcW w:w="1701" w:type="dxa"/>
            <w:gridSpan w:val="2"/>
            <w:vAlign w:val="center"/>
          </w:tcPr>
          <w:p w:rsidR="00BD05F3" w:rsidRPr="00E551D9" w:rsidRDefault="00BD05F3" w:rsidP="00735A8E">
            <w:pPr>
              <w:spacing w:line="360" w:lineRule="auto"/>
              <w:jc w:val="center"/>
              <w:rPr>
                <w:b/>
                <w:bCs/>
                <w:szCs w:val="21"/>
              </w:rPr>
            </w:pPr>
            <w:r w:rsidRPr="00E551D9">
              <w:rPr>
                <w:b/>
                <w:bCs/>
                <w:szCs w:val="21"/>
              </w:rPr>
              <w:t>篇均引用率</w:t>
            </w:r>
          </w:p>
        </w:tc>
      </w:tr>
      <w:tr w:rsidR="00BD05F3" w:rsidRPr="00E551D9" w:rsidTr="00735A8E">
        <w:trPr>
          <w:trHeight w:val="454"/>
          <w:jc w:val="center"/>
        </w:trPr>
        <w:tc>
          <w:tcPr>
            <w:tcW w:w="1242" w:type="dxa"/>
            <w:vMerge w:val="restart"/>
            <w:vAlign w:val="center"/>
          </w:tcPr>
          <w:p w:rsidR="00BD05F3" w:rsidRPr="00E551D9" w:rsidRDefault="00BD05F3" w:rsidP="00735A8E">
            <w:pPr>
              <w:spacing w:line="360" w:lineRule="auto"/>
              <w:jc w:val="center"/>
              <w:rPr>
                <w:b/>
                <w:bCs/>
                <w:szCs w:val="21"/>
              </w:rPr>
            </w:pPr>
            <w:r w:rsidRPr="00E551D9">
              <w:rPr>
                <w:b/>
                <w:bCs/>
                <w:szCs w:val="21"/>
              </w:rPr>
              <w:t>农业科学</w:t>
            </w:r>
          </w:p>
        </w:tc>
        <w:tc>
          <w:tcPr>
            <w:tcW w:w="1134" w:type="dxa"/>
            <w:vAlign w:val="center"/>
          </w:tcPr>
          <w:p w:rsidR="00BD05F3" w:rsidRPr="00E551D9" w:rsidRDefault="00BD05F3" w:rsidP="00735A8E">
            <w:pPr>
              <w:spacing w:line="360" w:lineRule="auto"/>
              <w:jc w:val="center"/>
              <w:rPr>
                <w:rFonts w:eastAsia="黑体"/>
                <w:szCs w:val="21"/>
              </w:rPr>
            </w:pPr>
            <w:r w:rsidRPr="00E551D9">
              <w:rPr>
                <w:rFonts w:eastAsia="黑体"/>
                <w:szCs w:val="21"/>
              </w:rPr>
              <w:t>2015.9</w:t>
            </w: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665</w:t>
            </w:r>
          </w:p>
        </w:tc>
        <w:tc>
          <w:tcPr>
            <w:tcW w:w="709"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↑14</w:t>
            </w:r>
          </w:p>
        </w:tc>
        <w:tc>
          <w:tcPr>
            <w:tcW w:w="850"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428</w:t>
            </w:r>
          </w:p>
        </w:tc>
        <w:tc>
          <w:tcPr>
            <w:tcW w:w="709"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↑14</w:t>
            </w: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1694</w:t>
            </w:r>
          </w:p>
        </w:tc>
        <w:tc>
          <w:tcPr>
            <w:tcW w:w="850"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↑113</w:t>
            </w:r>
          </w:p>
        </w:tc>
        <w:tc>
          <w:tcPr>
            <w:tcW w:w="851"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3.96</w:t>
            </w:r>
          </w:p>
        </w:tc>
        <w:tc>
          <w:tcPr>
            <w:tcW w:w="850"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↑0.13</w:t>
            </w:r>
          </w:p>
        </w:tc>
      </w:tr>
      <w:tr w:rsidR="00BD05F3" w:rsidRPr="00E551D9" w:rsidTr="00735A8E">
        <w:trPr>
          <w:trHeight w:val="454"/>
          <w:jc w:val="center"/>
        </w:trPr>
        <w:tc>
          <w:tcPr>
            <w:tcW w:w="1242" w:type="dxa"/>
            <w:vMerge/>
            <w:vAlign w:val="center"/>
          </w:tcPr>
          <w:p w:rsidR="00BD05F3" w:rsidRPr="00E551D9" w:rsidRDefault="00BD05F3" w:rsidP="00735A8E">
            <w:pPr>
              <w:spacing w:line="360" w:lineRule="auto"/>
              <w:jc w:val="center"/>
              <w:rPr>
                <w:b/>
                <w:bCs/>
                <w:szCs w:val="21"/>
              </w:rPr>
            </w:pPr>
          </w:p>
        </w:tc>
        <w:tc>
          <w:tcPr>
            <w:tcW w:w="1134" w:type="dxa"/>
            <w:vAlign w:val="center"/>
          </w:tcPr>
          <w:p w:rsidR="00BD05F3" w:rsidRPr="00E551D9" w:rsidRDefault="00BD05F3" w:rsidP="00735A8E">
            <w:pPr>
              <w:spacing w:line="360" w:lineRule="auto"/>
              <w:jc w:val="center"/>
              <w:rPr>
                <w:rFonts w:eastAsia="黑体"/>
                <w:szCs w:val="21"/>
              </w:rPr>
            </w:pPr>
            <w:r w:rsidRPr="00E551D9">
              <w:rPr>
                <w:rFonts w:eastAsia="黑体"/>
                <w:szCs w:val="21"/>
              </w:rPr>
              <w:t>2015.11</w:t>
            </w: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651</w:t>
            </w:r>
          </w:p>
        </w:tc>
        <w:tc>
          <w:tcPr>
            <w:tcW w:w="709"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c>
          <w:tcPr>
            <w:tcW w:w="850"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442</w:t>
            </w:r>
          </w:p>
        </w:tc>
        <w:tc>
          <w:tcPr>
            <w:tcW w:w="709"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1807</w:t>
            </w:r>
          </w:p>
        </w:tc>
        <w:tc>
          <w:tcPr>
            <w:tcW w:w="850"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c>
          <w:tcPr>
            <w:tcW w:w="851"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4.09</w:t>
            </w:r>
          </w:p>
        </w:tc>
        <w:tc>
          <w:tcPr>
            <w:tcW w:w="850"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r>
      <w:tr w:rsidR="00BD05F3" w:rsidRPr="00E551D9" w:rsidTr="00735A8E">
        <w:trPr>
          <w:trHeight w:val="454"/>
          <w:jc w:val="center"/>
        </w:trPr>
        <w:tc>
          <w:tcPr>
            <w:tcW w:w="1242" w:type="dxa"/>
            <w:vMerge w:val="restart"/>
            <w:vAlign w:val="center"/>
          </w:tcPr>
          <w:p w:rsidR="00BD05F3" w:rsidRPr="00E551D9" w:rsidRDefault="00BD05F3" w:rsidP="00735A8E">
            <w:pPr>
              <w:spacing w:line="360" w:lineRule="auto"/>
              <w:jc w:val="center"/>
              <w:rPr>
                <w:b/>
                <w:bCs/>
                <w:szCs w:val="21"/>
              </w:rPr>
            </w:pPr>
            <w:r w:rsidRPr="00E551D9">
              <w:rPr>
                <w:b/>
                <w:bCs/>
                <w:szCs w:val="21"/>
              </w:rPr>
              <w:t>植物学与动物学</w:t>
            </w:r>
          </w:p>
        </w:tc>
        <w:tc>
          <w:tcPr>
            <w:tcW w:w="1134" w:type="dxa"/>
            <w:vAlign w:val="center"/>
          </w:tcPr>
          <w:p w:rsidR="00BD05F3" w:rsidRPr="00E551D9" w:rsidRDefault="00BD05F3" w:rsidP="00735A8E">
            <w:pPr>
              <w:spacing w:line="360" w:lineRule="auto"/>
              <w:jc w:val="center"/>
              <w:rPr>
                <w:rFonts w:eastAsia="黑体"/>
                <w:szCs w:val="21"/>
              </w:rPr>
            </w:pPr>
            <w:r w:rsidRPr="00E551D9">
              <w:rPr>
                <w:rFonts w:eastAsia="黑体"/>
                <w:szCs w:val="21"/>
              </w:rPr>
              <w:t>2015.9</w:t>
            </w: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664</w:t>
            </w:r>
          </w:p>
        </w:tc>
        <w:tc>
          <w:tcPr>
            <w:tcW w:w="709"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↑7</w:t>
            </w:r>
          </w:p>
        </w:tc>
        <w:tc>
          <w:tcPr>
            <w:tcW w:w="850"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826</w:t>
            </w:r>
          </w:p>
        </w:tc>
        <w:tc>
          <w:tcPr>
            <w:tcW w:w="709"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↑37</w:t>
            </w: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4197</w:t>
            </w:r>
          </w:p>
        </w:tc>
        <w:tc>
          <w:tcPr>
            <w:tcW w:w="850"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↑254</w:t>
            </w:r>
          </w:p>
        </w:tc>
        <w:tc>
          <w:tcPr>
            <w:tcW w:w="851"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5.08</w:t>
            </w:r>
          </w:p>
        </w:tc>
        <w:tc>
          <w:tcPr>
            <w:tcW w:w="850" w:type="dxa"/>
            <w:vMerge w:val="restart"/>
            <w:tcBorders>
              <w:lef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↑0.08</w:t>
            </w:r>
          </w:p>
        </w:tc>
      </w:tr>
      <w:tr w:rsidR="00BD05F3" w:rsidRPr="00E551D9" w:rsidTr="00735A8E">
        <w:trPr>
          <w:trHeight w:val="454"/>
          <w:jc w:val="center"/>
        </w:trPr>
        <w:tc>
          <w:tcPr>
            <w:tcW w:w="1242" w:type="dxa"/>
            <w:vMerge/>
            <w:vAlign w:val="center"/>
          </w:tcPr>
          <w:p w:rsidR="00BD05F3" w:rsidRPr="00E551D9" w:rsidRDefault="00BD05F3" w:rsidP="00735A8E">
            <w:pPr>
              <w:spacing w:line="360" w:lineRule="auto"/>
              <w:jc w:val="center"/>
              <w:rPr>
                <w:rFonts w:eastAsia="黑体"/>
                <w:szCs w:val="21"/>
              </w:rPr>
            </w:pPr>
          </w:p>
        </w:tc>
        <w:tc>
          <w:tcPr>
            <w:tcW w:w="1134" w:type="dxa"/>
            <w:vAlign w:val="center"/>
          </w:tcPr>
          <w:p w:rsidR="00BD05F3" w:rsidRPr="00E551D9" w:rsidRDefault="00BD05F3" w:rsidP="00735A8E">
            <w:pPr>
              <w:spacing w:line="360" w:lineRule="auto"/>
              <w:jc w:val="center"/>
              <w:rPr>
                <w:rFonts w:eastAsia="黑体"/>
                <w:szCs w:val="21"/>
              </w:rPr>
            </w:pPr>
            <w:r w:rsidRPr="00E551D9">
              <w:rPr>
                <w:rFonts w:eastAsia="黑体"/>
                <w:szCs w:val="21"/>
              </w:rPr>
              <w:t>2015.11</w:t>
            </w: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657</w:t>
            </w:r>
          </w:p>
        </w:tc>
        <w:tc>
          <w:tcPr>
            <w:tcW w:w="709"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c>
          <w:tcPr>
            <w:tcW w:w="850"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863</w:t>
            </w:r>
          </w:p>
        </w:tc>
        <w:tc>
          <w:tcPr>
            <w:tcW w:w="709"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c>
          <w:tcPr>
            <w:tcW w:w="709"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4451</w:t>
            </w:r>
          </w:p>
        </w:tc>
        <w:tc>
          <w:tcPr>
            <w:tcW w:w="850"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c>
          <w:tcPr>
            <w:tcW w:w="851" w:type="dxa"/>
            <w:tcBorders>
              <w:right w:val="single" w:sz="4" w:space="0" w:color="auto"/>
            </w:tcBorders>
            <w:vAlign w:val="center"/>
          </w:tcPr>
          <w:p w:rsidR="00BD05F3" w:rsidRPr="00E551D9" w:rsidRDefault="00BD05F3" w:rsidP="00735A8E">
            <w:pPr>
              <w:spacing w:line="360" w:lineRule="auto"/>
              <w:jc w:val="center"/>
              <w:rPr>
                <w:rFonts w:eastAsia="黑体"/>
                <w:szCs w:val="21"/>
              </w:rPr>
            </w:pPr>
            <w:r w:rsidRPr="00E551D9">
              <w:rPr>
                <w:rFonts w:eastAsia="黑体"/>
                <w:szCs w:val="21"/>
              </w:rPr>
              <w:t>5.16</w:t>
            </w:r>
          </w:p>
        </w:tc>
        <w:tc>
          <w:tcPr>
            <w:tcW w:w="850" w:type="dxa"/>
            <w:vMerge/>
            <w:tcBorders>
              <w:left w:val="single" w:sz="4" w:space="0" w:color="auto"/>
            </w:tcBorders>
            <w:vAlign w:val="center"/>
          </w:tcPr>
          <w:p w:rsidR="00BD05F3" w:rsidRPr="00E551D9" w:rsidRDefault="00BD05F3" w:rsidP="00735A8E">
            <w:pPr>
              <w:spacing w:line="360" w:lineRule="auto"/>
              <w:jc w:val="center"/>
              <w:rPr>
                <w:rFonts w:eastAsia="黑体"/>
                <w:szCs w:val="21"/>
              </w:rPr>
            </w:pPr>
          </w:p>
        </w:tc>
      </w:tr>
    </w:tbl>
    <w:p w:rsidR="00BD05F3" w:rsidRPr="00E551D9" w:rsidRDefault="00BD05F3" w:rsidP="00BD05F3">
      <w:pPr>
        <w:spacing w:line="360" w:lineRule="auto"/>
        <w:rPr>
          <w:szCs w:val="21"/>
        </w:rPr>
      </w:pPr>
      <w:r w:rsidRPr="00E551D9">
        <w:rPr>
          <w:szCs w:val="21"/>
        </w:rPr>
        <w:t>学校现有</w:t>
      </w:r>
      <w:r w:rsidRPr="00E551D9">
        <w:rPr>
          <w:rFonts w:hint="eastAsia"/>
          <w:szCs w:val="21"/>
        </w:rPr>
        <w:t>10</w:t>
      </w:r>
      <w:r w:rsidRPr="00E551D9">
        <w:rPr>
          <w:rFonts w:hint="eastAsia"/>
          <w:szCs w:val="21"/>
        </w:rPr>
        <w:t>个一级学科博士点，</w:t>
      </w:r>
      <w:r w:rsidRPr="00E551D9">
        <w:rPr>
          <w:rFonts w:hint="eastAsia"/>
          <w:szCs w:val="21"/>
        </w:rPr>
        <w:t>17</w:t>
      </w:r>
      <w:r w:rsidRPr="00E551D9">
        <w:rPr>
          <w:rFonts w:hint="eastAsia"/>
          <w:szCs w:val="21"/>
        </w:rPr>
        <w:t>个一级学科硕士点。详见</w:t>
      </w:r>
      <w:r>
        <w:rPr>
          <w:rFonts w:hint="eastAsia"/>
          <w:szCs w:val="21"/>
        </w:rPr>
        <w:t>下</w:t>
      </w:r>
      <w:r w:rsidRPr="00E551D9">
        <w:rPr>
          <w:rFonts w:hint="eastAsia"/>
          <w:szCs w:val="21"/>
        </w:rPr>
        <w:t>表</w:t>
      </w:r>
      <w:r>
        <w:rPr>
          <w:rFonts w:hint="eastAsia"/>
          <w:szCs w:val="21"/>
        </w:rPr>
        <w:t>3</w:t>
      </w:r>
      <w:r>
        <w:rPr>
          <w:rFonts w:hint="eastAsia"/>
          <w:szCs w:val="21"/>
        </w:rPr>
        <w:t>和表</w:t>
      </w:r>
      <w:r>
        <w:rPr>
          <w:rFonts w:hint="eastAsia"/>
          <w:szCs w:val="21"/>
        </w:rPr>
        <w:t>4</w:t>
      </w:r>
    </w:p>
    <w:p w:rsidR="00BD05F3" w:rsidRPr="002459DE" w:rsidRDefault="00BD05F3" w:rsidP="00BD05F3">
      <w:pPr>
        <w:spacing w:line="360" w:lineRule="auto"/>
        <w:jc w:val="center"/>
        <w:rPr>
          <w:b/>
          <w:szCs w:val="21"/>
        </w:rPr>
      </w:pPr>
      <w:r w:rsidRPr="002459DE">
        <w:rPr>
          <w:b/>
          <w:szCs w:val="21"/>
        </w:rPr>
        <w:t>表</w:t>
      </w:r>
      <w:r w:rsidRPr="002459DE">
        <w:rPr>
          <w:rFonts w:hint="eastAsia"/>
          <w:b/>
          <w:szCs w:val="21"/>
        </w:rPr>
        <w:t>3</w:t>
      </w:r>
      <w:r w:rsidR="00FC6EBC">
        <w:rPr>
          <w:b/>
          <w:szCs w:val="21"/>
        </w:rPr>
        <w:t xml:space="preserve"> </w:t>
      </w:r>
      <w:r w:rsidRPr="002459DE">
        <w:rPr>
          <w:b/>
          <w:szCs w:val="21"/>
        </w:rPr>
        <w:t>一级学科博士点</w:t>
      </w:r>
    </w:p>
    <w:tbl>
      <w:tblPr>
        <w:tblStyle w:val="a8"/>
        <w:tblW w:w="0" w:type="auto"/>
        <w:jc w:val="center"/>
        <w:tblLook w:val="04A0" w:firstRow="1" w:lastRow="0" w:firstColumn="1" w:lastColumn="0" w:noHBand="0" w:noVBand="1"/>
      </w:tblPr>
      <w:tblGrid>
        <w:gridCol w:w="9628"/>
      </w:tblGrid>
      <w:tr w:rsidR="00BD05F3" w:rsidRPr="00E551D9" w:rsidTr="00735A8E">
        <w:trPr>
          <w:jc w:val="center"/>
        </w:trPr>
        <w:tc>
          <w:tcPr>
            <w:tcW w:w="9628" w:type="dxa"/>
          </w:tcPr>
          <w:p w:rsidR="00BD05F3" w:rsidRPr="00E551D9" w:rsidRDefault="00BD05F3" w:rsidP="00735A8E">
            <w:pPr>
              <w:spacing w:line="360" w:lineRule="auto"/>
              <w:rPr>
                <w:szCs w:val="21"/>
              </w:rPr>
            </w:pPr>
            <w:r w:rsidRPr="00E551D9">
              <w:rPr>
                <w:rFonts w:hint="eastAsia"/>
                <w:szCs w:val="21"/>
              </w:rPr>
              <w:t>0710</w:t>
            </w:r>
            <w:r w:rsidRPr="00E551D9">
              <w:rPr>
                <w:rFonts w:hint="eastAsia"/>
                <w:szCs w:val="21"/>
              </w:rPr>
              <w:t>生物学</w:t>
            </w:r>
            <w:r w:rsidRPr="00E551D9">
              <w:rPr>
                <w:rFonts w:hint="eastAsia"/>
                <w:szCs w:val="21"/>
              </w:rPr>
              <w:t xml:space="preserve">    0834</w:t>
            </w:r>
            <w:r w:rsidRPr="00E551D9">
              <w:rPr>
                <w:rFonts w:hint="eastAsia"/>
                <w:szCs w:val="21"/>
              </w:rPr>
              <w:t>风景园林学</w:t>
            </w:r>
            <w:r w:rsidRPr="00E551D9">
              <w:rPr>
                <w:rFonts w:hint="eastAsia"/>
                <w:szCs w:val="21"/>
              </w:rPr>
              <w:t xml:space="preserve">    0901</w:t>
            </w:r>
            <w:r w:rsidRPr="00E551D9">
              <w:rPr>
                <w:rFonts w:hint="eastAsia"/>
                <w:szCs w:val="21"/>
              </w:rPr>
              <w:t>作物学</w:t>
            </w:r>
            <w:r w:rsidRPr="00E551D9">
              <w:rPr>
                <w:rFonts w:hint="eastAsia"/>
                <w:szCs w:val="21"/>
              </w:rPr>
              <w:t xml:space="preserve">    0902</w:t>
            </w:r>
            <w:r w:rsidRPr="00E551D9">
              <w:rPr>
                <w:rFonts w:hint="eastAsia"/>
                <w:szCs w:val="21"/>
              </w:rPr>
              <w:t>园艺学</w:t>
            </w:r>
            <w:r w:rsidRPr="00E551D9">
              <w:rPr>
                <w:rFonts w:hint="eastAsia"/>
                <w:szCs w:val="21"/>
              </w:rPr>
              <w:t xml:space="preserve">    0903</w:t>
            </w:r>
            <w:r w:rsidRPr="00E551D9">
              <w:rPr>
                <w:rFonts w:hint="eastAsia"/>
                <w:szCs w:val="21"/>
              </w:rPr>
              <w:t>农业资源与环境</w:t>
            </w:r>
            <w:r w:rsidRPr="00E551D9">
              <w:rPr>
                <w:rFonts w:hint="eastAsia"/>
                <w:szCs w:val="21"/>
              </w:rPr>
              <w:t>(</w:t>
            </w:r>
            <w:r w:rsidRPr="00E551D9">
              <w:rPr>
                <w:rFonts w:hint="eastAsia"/>
                <w:szCs w:val="21"/>
              </w:rPr>
              <w:t>新调整</w:t>
            </w:r>
            <w:r w:rsidRPr="00E551D9">
              <w:rPr>
                <w:rFonts w:hint="eastAsia"/>
                <w:szCs w:val="21"/>
              </w:rPr>
              <w:t>)</w:t>
            </w:r>
          </w:p>
          <w:p w:rsidR="00BD05F3" w:rsidRPr="00E551D9" w:rsidRDefault="00BD05F3" w:rsidP="00735A8E">
            <w:pPr>
              <w:spacing w:line="360" w:lineRule="auto"/>
              <w:rPr>
                <w:szCs w:val="21"/>
              </w:rPr>
            </w:pPr>
            <w:r w:rsidRPr="00E551D9">
              <w:rPr>
                <w:rFonts w:hint="eastAsia"/>
                <w:szCs w:val="21"/>
              </w:rPr>
              <w:t>0905</w:t>
            </w:r>
            <w:r w:rsidRPr="00E551D9">
              <w:rPr>
                <w:rFonts w:hint="eastAsia"/>
                <w:szCs w:val="21"/>
              </w:rPr>
              <w:t>畜牧学</w:t>
            </w:r>
            <w:r w:rsidRPr="00E551D9">
              <w:rPr>
                <w:rFonts w:hint="eastAsia"/>
                <w:szCs w:val="21"/>
              </w:rPr>
              <w:t xml:space="preserve">    0906</w:t>
            </w:r>
            <w:r w:rsidRPr="00E551D9">
              <w:rPr>
                <w:rFonts w:hint="eastAsia"/>
                <w:szCs w:val="21"/>
              </w:rPr>
              <w:t>兽医学</w:t>
            </w:r>
            <w:r w:rsidRPr="00E551D9">
              <w:rPr>
                <w:rFonts w:hint="eastAsia"/>
                <w:szCs w:val="21"/>
              </w:rPr>
              <w:t xml:space="preserve">    </w:t>
            </w:r>
            <w:r w:rsidRPr="00E551D9">
              <w:rPr>
                <w:szCs w:val="21"/>
              </w:rPr>
              <w:t xml:space="preserve">    </w:t>
            </w:r>
            <w:r w:rsidRPr="00E551D9">
              <w:rPr>
                <w:rFonts w:hint="eastAsia"/>
                <w:szCs w:val="21"/>
              </w:rPr>
              <w:t>0907</w:t>
            </w:r>
            <w:r w:rsidRPr="00E551D9">
              <w:rPr>
                <w:rFonts w:hint="eastAsia"/>
                <w:szCs w:val="21"/>
              </w:rPr>
              <w:t>林学</w:t>
            </w:r>
            <w:r w:rsidRPr="00E551D9">
              <w:rPr>
                <w:rFonts w:hint="eastAsia"/>
                <w:szCs w:val="21"/>
              </w:rPr>
              <w:t xml:space="preserve">    </w:t>
            </w:r>
            <w:r w:rsidRPr="00E551D9">
              <w:rPr>
                <w:szCs w:val="21"/>
              </w:rPr>
              <w:t xml:space="preserve">  </w:t>
            </w:r>
            <w:r w:rsidRPr="00E551D9">
              <w:rPr>
                <w:rFonts w:hint="eastAsia"/>
                <w:szCs w:val="21"/>
              </w:rPr>
              <w:t>0909</w:t>
            </w:r>
            <w:r w:rsidRPr="00E551D9">
              <w:rPr>
                <w:rFonts w:hint="eastAsia"/>
                <w:szCs w:val="21"/>
              </w:rPr>
              <w:t>草学</w:t>
            </w:r>
            <w:r w:rsidRPr="00E551D9">
              <w:rPr>
                <w:rFonts w:hint="eastAsia"/>
                <w:szCs w:val="21"/>
              </w:rPr>
              <w:t xml:space="preserve">    </w:t>
            </w:r>
            <w:r w:rsidRPr="00E551D9">
              <w:rPr>
                <w:szCs w:val="21"/>
              </w:rPr>
              <w:t xml:space="preserve">  </w:t>
            </w:r>
            <w:r w:rsidRPr="00E551D9">
              <w:rPr>
                <w:rFonts w:hint="eastAsia"/>
                <w:szCs w:val="21"/>
              </w:rPr>
              <w:t>1203</w:t>
            </w:r>
            <w:r w:rsidRPr="00E551D9">
              <w:rPr>
                <w:rFonts w:hint="eastAsia"/>
                <w:szCs w:val="21"/>
              </w:rPr>
              <w:t>农林经济管理</w:t>
            </w:r>
          </w:p>
        </w:tc>
      </w:tr>
    </w:tbl>
    <w:p w:rsidR="00BD05F3" w:rsidRPr="002459DE" w:rsidRDefault="00BD05F3" w:rsidP="00BD05F3">
      <w:pPr>
        <w:spacing w:line="360" w:lineRule="auto"/>
        <w:jc w:val="center"/>
        <w:rPr>
          <w:b/>
          <w:szCs w:val="21"/>
        </w:rPr>
      </w:pPr>
      <w:r w:rsidRPr="002459DE">
        <w:rPr>
          <w:rFonts w:hint="eastAsia"/>
          <w:b/>
          <w:szCs w:val="21"/>
        </w:rPr>
        <w:t>表</w:t>
      </w:r>
      <w:r w:rsidRPr="002459DE">
        <w:rPr>
          <w:rFonts w:hint="eastAsia"/>
          <w:b/>
          <w:szCs w:val="21"/>
        </w:rPr>
        <w:t>4</w:t>
      </w:r>
      <w:r w:rsidR="00FC6EBC">
        <w:rPr>
          <w:b/>
          <w:szCs w:val="21"/>
        </w:rPr>
        <w:t xml:space="preserve"> </w:t>
      </w:r>
      <w:r w:rsidRPr="002459DE">
        <w:rPr>
          <w:rFonts w:hint="eastAsia"/>
          <w:b/>
          <w:szCs w:val="21"/>
        </w:rPr>
        <w:t>一级学科硕士点</w:t>
      </w:r>
    </w:p>
    <w:tbl>
      <w:tblPr>
        <w:tblStyle w:val="a8"/>
        <w:tblW w:w="0" w:type="auto"/>
        <w:jc w:val="center"/>
        <w:tblLook w:val="04A0" w:firstRow="1" w:lastRow="0" w:firstColumn="1" w:lastColumn="0" w:noHBand="0" w:noVBand="1"/>
      </w:tblPr>
      <w:tblGrid>
        <w:gridCol w:w="9628"/>
      </w:tblGrid>
      <w:tr w:rsidR="00BD05F3" w:rsidRPr="00E551D9" w:rsidTr="00735A8E">
        <w:trPr>
          <w:jc w:val="center"/>
        </w:trPr>
        <w:tc>
          <w:tcPr>
            <w:tcW w:w="9628" w:type="dxa"/>
          </w:tcPr>
          <w:p w:rsidR="00BD05F3" w:rsidRPr="00E551D9" w:rsidRDefault="00BD05F3" w:rsidP="00735A8E">
            <w:pPr>
              <w:spacing w:line="360" w:lineRule="auto"/>
              <w:rPr>
                <w:szCs w:val="21"/>
              </w:rPr>
            </w:pPr>
            <w:r w:rsidRPr="00E551D9">
              <w:rPr>
                <w:rFonts w:hint="eastAsia"/>
                <w:szCs w:val="21"/>
              </w:rPr>
              <w:t>0202</w:t>
            </w:r>
            <w:r w:rsidRPr="00E551D9">
              <w:rPr>
                <w:rFonts w:hint="eastAsia"/>
                <w:szCs w:val="21"/>
              </w:rPr>
              <w:t>应用经济学</w:t>
            </w:r>
            <w:r w:rsidRPr="00E551D9">
              <w:rPr>
                <w:rFonts w:hint="eastAsia"/>
                <w:szCs w:val="21"/>
              </w:rPr>
              <w:t>(</w:t>
            </w:r>
            <w:r w:rsidRPr="00E551D9">
              <w:rPr>
                <w:rFonts w:hint="eastAsia"/>
                <w:szCs w:val="21"/>
              </w:rPr>
              <w:t>新调整</w:t>
            </w:r>
            <w:r w:rsidRPr="00E551D9">
              <w:rPr>
                <w:rFonts w:hint="eastAsia"/>
                <w:szCs w:val="21"/>
              </w:rPr>
              <w:t xml:space="preserve">) </w:t>
            </w:r>
            <w:r w:rsidRPr="00E551D9">
              <w:rPr>
                <w:szCs w:val="21"/>
              </w:rPr>
              <w:t xml:space="preserve">  </w:t>
            </w:r>
            <w:r w:rsidRPr="00E551D9">
              <w:rPr>
                <w:rFonts w:hint="eastAsia"/>
                <w:szCs w:val="21"/>
              </w:rPr>
              <w:t>0305</w:t>
            </w:r>
            <w:r w:rsidRPr="00E551D9">
              <w:rPr>
                <w:rFonts w:hint="eastAsia"/>
                <w:szCs w:val="21"/>
              </w:rPr>
              <w:t>马克思主义理论</w:t>
            </w:r>
            <w:r w:rsidRPr="00E551D9">
              <w:rPr>
                <w:rFonts w:hint="eastAsia"/>
                <w:szCs w:val="21"/>
              </w:rPr>
              <w:t xml:space="preserve"> </w:t>
            </w:r>
            <w:r w:rsidRPr="00E551D9">
              <w:rPr>
                <w:szCs w:val="21"/>
              </w:rPr>
              <w:t xml:space="preserve">  </w:t>
            </w:r>
            <w:r w:rsidRPr="00E551D9">
              <w:rPr>
                <w:rFonts w:hint="eastAsia"/>
                <w:szCs w:val="21"/>
              </w:rPr>
              <w:t>0710</w:t>
            </w:r>
            <w:r w:rsidRPr="00E551D9">
              <w:rPr>
                <w:rFonts w:hint="eastAsia"/>
                <w:szCs w:val="21"/>
              </w:rPr>
              <w:t>生物学</w:t>
            </w:r>
            <w:r w:rsidRPr="00E551D9">
              <w:rPr>
                <w:rFonts w:hint="eastAsia"/>
                <w:szCs w:val="21"/>
              </w:rPr>
              <w:t xml:space="preserve">   </w:t>
            </w:r>
            <w:r w:rsidRPr="00E551D9">
              <w:rPr>
                <w:szCs w:val="21"/>
              </w:rPr>
              <w:t xml:space="preserve">  </w:t>
            </w:r>
            <w:r w:rsidRPr="00E551D9">
              <w:rPr>
                <w:rFonts w:hint="eastAsia"/>
                <w:szCs w:val="21"/>
              </w:rPr>
              <w:t>0828</w:t>
            </w:r>
            <w:r w:rsidRPr="00E551D9">
              <w:rPr>
                <w:rFonts w:hint="eastAsia"/>
                <w:szCs w:val="21"/>
              </w:rPr>
              <w:t>农业工程</w:t>
            </w:r>
            <w:r w:rsidRPr="00E551D9">
              <w:rPr>
                <w:rFonts w:hint="eastAsia"/>
                <w:szCs w:val="21"/>
              </w:rPr>
              <w:t>(</w:t>
            </w:r>
            <w:r w:rsidRPr="00E551D9">
              <w:rPr>
                <w:rFonts w:hint="eastAsia"/>
                <w:szCs w:val="21"/>
              </w:rPr>
              <w:t>新调整</w:t>
            </w:r>
            <w:r w:rsidRPr="00E551D9">
              <w:rPr>
                <w:rFonts w:hint="eastAsia"/>
                <w:szCs w:val="21"/>
              </w:rPr>
              <w:t xml:space="preserve">)  </w:t>
            </w:r>
          </w:p>
          <w:p w:rsidR="00BD05F3" w:rsidRPr="00E551D9" w:rsidRDefault="00BD05F3" w:rsidP="00735A8E">
            <w:pPr>
              <w:spacing w:line="360" w:lineRule="auto"/>
              <w:rPr>
                <w:szCs w:val="21"/>
              </w:rPr>
            </w:pPr>
            <w:r w:rsidRPr="00E551D9">
              <w:rPr>
                <w:rFonts w:hint="eastAsia"/>
                <w:szCs w:val="21"/>
              </w:rPr>
              <w:t>0832</w:t>
            </w:r>
            <w:r w:rsidRPr="00E551D9">
              <w:rPr>
                <w:rFonts w:hint="eastAsia"/>
                <w:szCs w:val="21"/>
              </w:rPr>
              <w:t>食品科学与工程</w:t>
            </w:r>
            <w:r w:rsidRPr="00E551D9">
              <w:rPr>
                <w:rFonts w:hint="eastAsia"/>
                <w:szCs w:val="21"/>
              </w:rPr>
              <w:t xml:space="preserve">  </w:t>
            </w:r>
            <w:r w:rsidRPr="00E551D9">
              <w:rPr>
                <w:szCs w:val="21"/>
              </w:rPr>
              <w:t xml:space="preserve">   </w:t>
            </w:r>
            <w:r w:rsidRPr="00E551D9">
              <w:rPr>
                <w:rFonts w:hint="eastAsia"/>
                <w:szCs w:val="21"/>
              </w:rPr>
              <w:t xml:space="preserve"> 0834</w:t>
            </w:r>
            <w:r w:rsidRPr="00E551D9">
              <w:rPr>
                <w:rFonts w:hint="eastAsia"/>
                <w:szCs w:val="21"/>
              </w:rPr>
              <w:t>风景园林学</w:t>
            </w:r>
            <w:r w:rsidRPr="00E551D9">
              <w:rPr>
                <w:rFonts w:hint="eastAsia"/>
                <w:szCs w:val="21"/>
              </w:rPr>
              <w:t xml:space="preserve">   </w:t>
            </w:r>
            <w:r w:rsidRPr="00E551D9">
              <w:rPr>
                <w:szCs w:val="21"/>
              </w:rPr>
              <w:t xml:space="preserve">    </w:t>
            </w:r>
            <w:r w:rsidRPr="00E551D9">
              <w:rPr>
                <w:rFonts w:hint="eastAsia"/>
                <w:szCs w:val="21"/>
              </w:rPr>
              <w:t>0901</w:t>
            </w:r>
            <w:r w:rsidRPr="00E551D9">
              <w:rPr>
                <w:rFonts w:hint="eastAsia"/>
                <w:szCs w:val="21"/>
              </w:rPr>
              <w:t>作物学</w:t>
            </w:r>
            <w:r w:rsidRPr="00E551D9">
              <w:rPr>
                <w:rFonts w:hint="eastAsia"/>
                <w:szCs w:val="21"/>
              </w:rPr>
              <w:t xml:space="preserve"> </w:t>
            </w:r>
            <w:r w:rsidRPr="00E551D9">
              <w:rPr>
                <w:szCs w:val="21"/>
              </w:rPr>
              <w:t xml:space="preserve">    </w:t>
            </w:r>
            <w:r w:rsidRPr="00E551D9">
              <w:rPr>
                <w:rFonts w:hint="eastAsia"/>
                <w:szCs w:val="21"/>
              </w:rPr>
              <w:t>0902</w:t>
            </w:r>
            <w:r w:rsidRPr="00E551D9">
              <w:rPr>
                <w:rFonts w:hint="eastAsia"/>
                <w:szCs w:val="21"/>
              </w:rPr>
              <w:t>园艺学</w:t>
            </w:r>
            <w:r w:rsidRPr="00E551D9">
              <w:rPr>
                <w:rFonts w:hint="eastAsia"/>
                <w:szCs w:val="21"/>
              </w:rPr>
              <w:t xml:space="preserve">   </w:t>
            </w:r>
          </w:p>
          <w:p w:rsidR="00BD05F3" w:rsidRPr="00E551D9" w:rsidRDefault="00BD05F3" w:rsidP="00735A8E">
            <w:pPr>
              <w:spacing w:line="360" w:lineRule="auto"/>
              <w:rPr>
                <w:szCs w:val="21"/>
              </w:rPr>
            </w:pPr>
            <w:r w:rsidRPr="00E551D9">
              <w:rPr>
                <w:rFonts w:hint="eastAsia"/>
                <w:szCs w:val="21"/>
              </w:rPr>
              <w:t>0903</w:t>
            </w:r>
            <w:r w:rsidRPr="00E551D9">
              <w:rPr>
                <w:rFonts w:hint="eastAsia"/>
                <w:szCs w:val="21"/>
              </w:rPr>
              <w:t>农业资源与环境</w:t>
            </w:r>
            <w:r w:rsidRPr="00E551D9">
              <w:rPr>
                <w:rFonts w:hint="eastAsia"/>
                <w:szCs w:val="21"/>
              </w:rPr>
              <w:t xml:space="preserve"> </w:t>
            </w:r>
            <w:r w:rsidRPr="00E551D9">
              <w:rPr>
                <w:szCs w:val="21"/>
              </w:rPr>
              <w:t xml:space="preserve">     </w:t>
            </w:r>
            <w:r w:rsidRPr="00E551D9">
              <w:rPr>
                <w:rFonts w:hint="eastAsia"/>
                <w:szCs w:val="21"/>
              </w:rPr>
              <w:t>0904</w:t>
            </w:r>
            <w:r w:rsidRPr="00E551D9">
              <w:rPr>
                <w:rFonts w:hint="eastAsia"/>
                <w:szCs w:val="21"/>
              </w:rPr>
              <w:t>植物保护</w:t>
            </w:r>
            <w:r w:rsidRPr="00E551D9">
              <w:rPr>
                <w:rFonts w:hint="eastAsia"/>
                <w:szCs w:val="21"/>
              </w:rPr>
              <w:t xml:space="preserve">      </w:t>
            </w:r>
            <w:r w:rsidRPr="00E551D9">
              <w:rPr>
                <w:szCs w:val="21"/>
              </w:rPr>
              <w:t xml:space="preserve">  </w:t>
            </w:r>
            <w:r w:rsidRPr="00E551D9">
              <w:rPr>
                <w:rFonts w:hint="eastAsia"/>
                <w:szCs w:val="21"/>
              </w:rPr>
              <w:t xml:space="preserve"> 0905</w:t>
            </w:r>
            <w:r w:rsidRPr="00E551D9">
              <w:rPr>
                <w:rFonts w:hint="eastAsia"/>
                <w:szCs w:val="21"/>
              </w:rPr>
              <w:t>畜牧学</w:t>
            </w:r>
            <w:r w:rsidRPr="00E551D9">
              <w:rPr>
                <w:rFonts w:hint="eastAsia"/>
                <w:szCs w:val="21"/>
              </w:rPr>
              <w:t xml:space="preserve">   </w:t>
            </w:r>
            <w:r w:rsidRPr="00E551D9">
              <w:rPr>
                <w:szCs w:val="21"/>
              </w:rPr>
              <w:t xml:space="preserve"> </w:t>
            </w:r>
            <w:r w:rsidRPr="00E551D9">
              <w:rPr>
                <w:rFonts w:hint="eastAsia"/>
                <w:szCs w:val="21"/>
              </w:rPr>
              <w:t xml:space="preserve"> 0906</w:t>
            </w:r>
            <w:r w:rsidRPr="00E551D9">
              <w:rPr>
                <w:rFonts w:hint="eastAsia"/>
                <w:szCs w:val="21"/>
              </w:rPr>
              <w:t>兽医学</w:t>
            </w:r>
            <w:r w:rsidRPr="00E551D9">
              <w:rPr>
                <w:rFonts w:hint="eastAsia"/>
                <w:szCs w:val="21"/>
              </w:rPr>
              <w:t xml:space="preserve">   </w:t>
            </w:r>
          </w:p>
          <w:p w:rsidR="00BD05F3" w:rsidRPr="00E551D9" w:rsidRDefault="00BD05F3" w:rsidP="00735A8E">
            <w:pPr>
              <w:spacing w:line="360" w:lineRule="auto"/>
              <w:rPr>
                <w:szCs w:val="21"/>
              </w:rPr>
            </w:pPr>
            <w:r w:rsidRPr="00E551D9">
              <w:rPr>
                <w:rFonts w:hint="eastAsia"/>
                <w:szCs w:val="21"/>
              </w:rPr>
              <w:t>0907</w:t>
            </w:r>
            <w:r w:rsidRPr="00E551D9">
              <w:rPr>
                <w:rFonts w:hint="eastAsia"/>
                <w:szCs w:val="21"/>
              </w:rPr>
              <w:t>林学</w:t>
            </w:r>
            <w:r w:rsidRPr="00E551D9">
              <w:rPr>
                <w:rFonts w:hint="eastAsia"/>
                <w:szCs w:val="21"/>
              </w:rPr>
              <w:t xml:space="preserve">   </w:t>
            </w:r>
            <w:r w:rsidRPr="00E551D9">
              <w:rPr>
                <w:szCs w:val="21"/>
              </w:rPr>
              <w:t xml:space="preserve">             </w:t>
            </w:r>
            <w:r w:rsidRPr="00E551D9">
              <w:rPr>
                <w:rFonts w:hint="eastAsia"/>
                <w:szCs w:val="21"/>
              </w:rPr>
              <w:t>0908</w:t>
            </w:r>
            <w:r w:rsidRPr="00E551D9">
              <w:rPr>
                <w:rFonts w:hint="eastAsia"/>
                <w:szCs w:val="21"/>
              </w:rPr>
              <w:t>水产</w:t>
            </w:r>
            <w:r w:rsidRPr="00E551D9">
              <w:rPr>
                <w:rFonts w:hint="eastAsia"/>
                <w:szCs w:val="21"/>
              </w:rPr>
              <w:t xml:space="preserve">   </w:t>
            </w:r>
            <w:r w:rsidRPr="00E551D9">
              <w:rPr>
                <w:szCs w:val="21"/>
              </w:rPr>
              <w:t xml:space="preserve">          </w:t>
            </w:r>
            <w:r w:rsidRPr="00E551D9">
              <w:rPr>
                <w:rFonts w:hint="eastAsia"/>
                <w:szCs w:val="21"/>
              </w:rPr>
              <w:t>0909</w:t>
            </w:r>
            <w:r w:rsidRPr="00E551D9">
              <w:rPr>
                <w:rFonts w:hint="eastAsia"/>
                <w:szCs w:val="21"/>
              </w:rPr>
              <w:t>草学</w:t>
            </w:r>
            <w:r w:rsidRPr="00E551D9">
              <w:rPr>
                <w:rFonts w:hint="eastAsia"/>
                <w:szCs w:val="21"/>
              </w:rPr>
              <w:t xml:space="preserve"> </w:t>
            </w:r>
            <w:r w:rsidRPr="00E551D9">
              <w:rPr>
                <w:szCs w:val="21"/>
              </w:rPr>
              <w:t xml:space="preserve">      </w:t>
            </w:r>
            <w:r w:rsidRPr="00E551D9">
              <w:rPr>
                <w:rFonts w:hint="eastAsia"/>
                <w:szCs w:val="21"/>
              </w:rPr>
              <w:t>1202</w:t>
            </w:r>
            <w:r w:rsidRPr="00E551D9">
              <w:rPr>
                <w:rFonts w:hint="eastAsia"/>
                <w:szCs w:val="21"/>
              </w:rPr>
              <w:t>工商管理</w:t>
            </w:r>
            <w:r w:rsidRPr="00E551D9">
              <w:rPr>
                <w:rFonts w:hint="eastAsia"/>
                <w:szCs w:val="21"/>
              </w:rPr>
              <w:t>(</w:t>
            </w:r>
            <w:r w:rsidRPr="00E551D9">
              <w:rPr>
                <w:rFonts w:hint="eastAsia"/>
                <w:szCs w:val="21"/>
              </w:rPr>
              <w:t>新调整</w:t>
            </w:r>
            <w:r w:rsidRPr="00E551D9">
              <w:rPr>
                <w:rFonts w:hint="eastAsia"/>
                <w:szCs w:val="21"/>
              </w:rPr>
              <w:t>)</w:t>
            </w:r>
          </w:p>
          <w:p w:rsidR="00BD05F3" w:rsidRPr="00E551D9" w:rsidRDefault="00BD05F3" w:rsidP="00735A8E">
            <w:pPr>
              <w:spacing w:line="360" w:lineRule="auto"/>
              <w:rPr>
                <w:szCs w:val="21"/>
              </w:rPr>
            </w:pPr>
            <w:r w:rsidRPr="00E551D9">
              <w:rPr>
                <w:rFonts w:hint="eastAsia"/>
                <w:szCs w:val="21"/>
              </w:rPr>
              <w:t>1203</w:t>
            </w:r>
            <w:r w:rsidRPr="00E551D9">
              <w:rPr>
                <w:rFonts w:hint="eastAsia"/>
                <w:szCs w:val="21"/>
              </w:rPr>
              <w:t>农林经济管理</w:t>
            </w:r>
          </w:p>
        </w:tc>
      </w:tr>
    </w:tbl>
    <w:p w:rsidR="00BD05F3" w:rsidRPr="00E551D9" w:rsidRDefault="00BD05F3" w:rsidP="00BD05F3">
      <w:pPr>
        <w:spacing w:line="360" w:lineRule="auto"/>
        <w:rPr>
          <w:szCs w:val="21"/>
        </w:rPr>
      </w:pPr>
      <w:r w:rsidRPr="00E551D9">
        <w:rPr>
          <w:szCs w:val="21"/>
        </w:rPr>
        <w:t>国家级重点学科</w:t>
      </w:r>
      <w:r w:rsidRPr="00E551D9">
        <w:rPr>
          <w:szCs w:val="21"/>
        </w:rPr>
        <w:t>4</w:t>
      </w:r>
      <w:r w:rsidRPr="00E551D9">
        <w:rPr>
          <w:szCs w:val="21"/>
        </w:rPr>
        <w:t>个，省部级重点学科</w:t>
      </w:r>
      <w:r w:rsidRPr="00E551D9">
        <w:rPr>
          <w:szCs w:val="21"/>
        </w:rPr>
        <w:t>19</w:t>
      </w:r>
      <w:r w:rsidRPr="00E551D9">
        <w:rPr>
          <w:szCs w:val="21"/>
        </w:rPr>
        <w:t>个（其中一级重点学科</w:t>
      </w:r>
      <w:r w:rsidRPr="00E551D9">
        <w:rPr>
          <w:szCs w:val="21"/>
        </w:rPr>
        <w:t>3</w:t>
      </w:r>
      <w:r w:rsidRPr="00E551D9">
        <w:rPr>
          <w:szCs w:val="21"/>
        </w:rPr>
        <w:t>个）。详见表</w:t>
      </w:r>
      <w:r>
        <w:rPr>
          <w:szCs w:val="21"/>
        </w:rPr>
        <w:t>5</w:t>
      </w:r>
      <w:r w:rsidRPr="00E551D9">
        <w:rPr>
          <w:szCs w:val="21"/>
        </w:rPr>
        <w:t>。</w:t>
      </w:r>
    </w:p>
    <w:p w:rsidR="00BD05F3" w:rsidRPr="00E551D9" w:rsidRDefault="00BD05F3" w:rsidP="00BD05F3">
      <w:pPr>
        <w:spacing w:beforeLines="20" w:before="62" w:afterLines="20" w:after="62" w:line="360" w:lineRule="auto"/>
        <w:ind w:firstLine="570"/>
        <w:jc w:val="center"/>
        <w:rPr>
          <w:b/>
          <w:bCs/>
          <w:szCs w:val="21"/>
        </w:rPr>
      </w:pPr>
      <w:r w:rsidRPr="00E551D9">
        <w:rPr>
          <w:b/>
          <w:bCs/>
          <w:szCs w:val="21"/>
        </w:rPr>
        <w:t>表</w:t>
      </w:r>
      <w:r>
        <w:rPr>
          <w:b/>
          <w:bCs/>
          <w:szCs w:val="21"/>
        </w:rPr>
        <w:t>5</w:t>
      </w:r>
      <w:r w:rsidR="00FC6EBC">
        <w:rPr>
          <w:b/>
          <w:bCs/>
          <w:szCs w:val="21"/>
        </w:rPr>
        <w:t xml:space="preserve"> </w:t>
      </w:r>
      <w:r w:rsidRPr="00E551D9">
        <w:rPr>
          <w:b/>
          <w:bCs/>
          <w:szCs w:val="21"/>
        </w:rPr>
        <w:t>重点学科一览表</w:t>
      </w:r>
    </w:p>
    <w:tbl>
      <w:tblPr>
        <w:tblW w:w="50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2865"/>
        <w:gridCol w:w="6827"/>
      </w:tblGrid>
      <w:tr w:rsidR="00BD05F3" w:rsidRPr="00E551D9" w:rsidTr="00735A8E">
        <w:trPr>
          <w:trHeight w:val="631"/>
        </w:trPr>
        <w:tc>
          <w:tcPr>
            <w:tcW w:w="1478" w:type="pct"/>
            <w:noWrap/>
            <w:vAlign w:val="center"/>
          </w:tcPr>
          <w:p w:rsidR="00BD05F3" w:rsidRPr="00E551D9" w:rsidRDefault="00BD05F3" w:rsidP="00735A8E">
            <w:pPr>
              <w:spacing w:line="360" w:lineRule="auto"/>
              <w:jc w:val="center"/>
              <w:rPr>
                <w:b/>
                <w:bCs/>
                <w:szCs w:val="21"/>
              </w:rPr>
            </w:pPr>
            <w:r w:rsidRPr="00E551D9">
              <w:rPr>
                <w:b/>
                <w:bCs/>
                <w:szCs w:val="21"/>
              </w:rPr>
              <w:t>类型</w:t>
            </w:r>
          </w:p>
        </w:tc>
        <w:tc>
          <w:tcPr>
            <w:tcW w:w="3522" w:type="pct"/>
            <w:vAlign w:val="center"/>
          </w:tcPr>
          <w:p w:rsidR="00BD05F3" w:rsidRPr="00E551D9" w:rsidRDefault="00BD05F3" w:rsidP="00735A8E">
            <w:pPr>
              <w:spacing w:line="360" w:lineRule="auto"/>
              <w:jc w:val="center"/>
              <w:rPr>
                <w:b/>
                <w:bCs/>
                <w:szCs w:val="21"/>
              </w:rPr>
            </w:pPr>
            <w:r w:rsidRPr="00E551D9">
              <w:rPr>
                <w:rFonts w:hint="eastAsia"/>
                <w:b/>
                <w:bCs/>
                <w:szCs w:val="21"/>
              </w:rPr>
              <w:t>名称</w:t>
            </w:r>
          </w:p>
        </w:tc>
      </w:tr>
      <w:tr w:rsidR="00BD05F3" w:rsidRPr="00E551D9" w:rsidTr="00735A8E">
        <w:trPr>
          <w:cantSplit/>
          <w:trHeight w:hRule="exact" w:val="510"/>
        </w:trPr>
        <w:tc>
          <w:tcPr>
            <w:tcW w:w="1478" w:type="pct"/>
            <w:noWrap/>
            <w:vAlign w:val="center"/>
          </w:tcPr>
          <w:p w:rsidR="00BD05F3" w:rsidRPr="00E551D9" w:rsidRDefault="00BD05F3" w:rsidP="00735A8E">
            <w:pPr>
              <w:spacing w:line="360" w:lineRule="auto"/>
              <w:jc w:val="center"/>
              <w:rPr>
                <w:szCs w:val="21"/>
              </w:rPr>
            </w:pPr>
            <w:r w:rsidRPr="00E551D9">
              <w:rPr>
                <w:b/>
                <w:bCs/>
                <w:szCs w:val="21"/>
              </w:rPr>
              <w:t>国家重点学科</w:t>
            </w:r>
          </w:p>
        </w:tc>
        <w:tc>
          <w:tcPr>
            <w:tcW w:w="3522" w:type="pct"/>
            <w:vAlign w:val="center"/>
          </w:tcPr>
          <w:p w:rsidR="00BD05F3" w:rsidRPr="00E551D9" w:rsidRDefault="00BD05F3" w:rsidP="00735A8E">
            <w:pPr>
              <w:spacing w:line="360" w:lineRule="auto"/>
              <w:rPr>
                <w:color w:val="000000"/>
                <w:szCs w:val="21"/>
              </w:rPr>
            </w:pPr>
            <w:r w:rsidRPr="00E551D9">
              <w:rPr>
                <w:rStyle w:val="a7"/>
                <w:i w:val="0"/>
                <w:szCs w:val="21"/>
              </w:rPr>
              <w:t>作物遗传育种</w:t>
            </w:r>
            <w:r w:rsidRPr="00E551D9">
              <w:rPr>
                <w:rStyle w:val="a7"/>
                <w:rFonts w:hint="eastAsia"/>
                <w:i w:val="0"/>
                <w:szCs w:val="21"/>
              </w:rPr>
              <w:t>、</w:t>
            </w:r>
            <w:r w:rsidRPr="00E551D9">
              <w:rPr>
                <w:szCs w:val="21"/>
              </w:rPr>
              <w:t>动物营养与饲料科学</w:t>
            </w:r>
          </w:p>
        </w:tc>
      </w:tr>
      <w:tr w:rsidR="00BD05F3" w:rsidRPr="00E551D9" w:rsidTr="00735A8E">
        <w:trPr>
          <w:cantSplit/>
          <w:trHeight w:hRule="exact" w:val="510"/>
        </w:trPr>
        <w:tc>
          <w:tcPr>
            <w:tcW w:w="1478" w:type="pct"/>
            <w:noWrap/>
            <w:vAlign w:val="center"/>
          </w:tcPr>
          <w:p w:rsidR="00BD05F3" w:rsidRPr="00E551D9" w:rsidRDefault="00BD05F3" w:rsidP="00735A8E">
            <w:pPr>
              <w:spacing w:line="360" w:lineRule="auto"/>
              <w:jc w:val="center"/>
              <w:rPr>
                <w:b/>
                <w:szCs w:val="21"/>
              </w:rPr>
            </w:pPr>
            <w:r w:rsidRPr="00E551D9">
              <w:rPr>
                <w:rFonts w:hint="eastAsia"/>
                <w:b/>
                <w:szCs w:val="21"/>
              </w:rPr>
              <w:t>国家重点培育学科</w:t>
            </w:r>
          </w:p>
        </w:tc>
        <w:tc>
          <w:tcPr>
            <w:tcW w:w="3522" w:type="pct"/>
            <w:vAlign w:val="center"/>
          </w:tcPr>
          <w:p w:rsidR="00BD05F3" w:rsidRPr="00E551D9" w:rsidRDefault="00BD05F3" w:rsidP="00735A8E">
            <w:pPr>
              <w:pStyle w:val="DecimalAligned"/>
              <w:spacing w:after="0" w:line="360" w:lineRule="auto"/>
              <w:jc w:val="both"/>
              <w:rPr>
                <w:rFonts w:ascii="Times New Roman" w:hAnsi="Times New Roman" w:cs="Times New Roman"/>
                <w:sz w:val="21"/>
                <w:szCs w:val="21"/>
              </w:rPr>
            </w:pPr>
            <w:r w:rsidRPr="00E551D9">
              <w:rPr>
                <w:rFonts w:ascii="Times New Roman" w:hAnsi="Times New Roman" w:cs="Times New Roman" w:hint="eastAsia"/>
                <w:sz w:val="21"/>
                <w:szCs w:val="21"/>
              </w:rPr>
              <w:t>预防兽医学、动物遗传育种与繁殖</w:t>
            </w:r>
          </w:p>
        </w:tc>
      </w:tr>
      <w:tr w:rsidR="00BD05F3" w:rsidRPr="00E551D9" w:rsidTr="00735A8E">
        <w:trPr>
          <w:cantSplit/>
          <w:trHeight w:hRule="exact" w:val="547"/>
        </w:trPr>
        <w:tc>
          <w:tcPr>
            <w:tcW w:w="1478" w:type="pct"/>
            <w:noWrap/>
            <w:vAlign w:val="center"/>
          </w:tcPr>
          <w:p w:rsidR="00BD05F3" w:rsidRPr="00E551D9" w:rsidRDefault="00BD05F3" w:rsidP="00735A8E">
            <w:pPr>
              <w:spacing w:line="360" w:lineRule="auto"/>
              <w:jc w:val="center"/>
              <w:rPr>
                <w:szCs w:val="21"/>
              </w:rPr>
            </w:pPr>
            <w:r w:rsidRPr="00E551D9">
              <w:rPr>
                <w:b/>
                <w:bCs/>
                <w:szCs w:val="21"/>
              </w:rPr>
              <w:t>部局级重点学科</w:t>
            </w:r>
          </w:p>
        </w:tc>
        <w:tc>
          <w:tcPr>
            <w:tcW w:w="3522" w:type="pct"/>
            <w:vAlign w:val="center"/>
          </w:tcPr>
          <w:p w:rsidR="00BD05F3" w:rsidRPr="00E551D9" w:rsidRDefault="00BD05F3" w:rsidP="00735A8E">
            <w:pPr>
              <w:pStyle w:val="DecimalAligned"/>
              <w:spacing w:after="0" w:line="360" w:lineRule="auto"/>
              <w:jc w:val="both"/>
              <w:rPr>
                <w:rFonts w:ascii="Times New Roman" w:hAnsi="Times New Roman" w:cs="Times New Roman"/>
                <w:sz w:val="21"/>
                <w:szCs w:val="21"/>
              </w:rPr>
            </w:pPr>
            <w:r w:rsidRPr="00E551D9">
              <w:rPr>
                <w:sz w:val="21"/>
                <w:szCs w:val="21"/>
              </w:rPr>
              <w:t>作物遗传育种</w:t>
            </w:r>
            <w:r w:rsidRPr="00E551D9">
              <w:rPr>
                <w:rFonts w:hint="eastAsia"/>
                <w:sz w:val="21"/>
                <w:szCs w:val="21"/>
              </w:rPr>
              <w:t>（农业部）、</w:t>
            </w:r>
            <w:r w:rsidRPr="00E551D9">
              <w:rPr>
                <w:rFonts w:ascii="Times New Roman" w:hAnsi="Times New Roman" w:cs="Times New Roman"/>
                <w:sz w:val="21"/>
                <w:szCs w:val="21"/>
              </w:rPr>
              <w:t>森林培育（国家林业局）</w:t>
            </w:r>
          </w:p>
        </w:tc>
      </w:tr>
      <w:tr w:rsidR="00BD05F3" w:rsidRPr="00E551D9" w:rsidTr="00735A8E">
        <w:trPr>
          <w:cantSplit/>
          <w:trHeight w:hRule="exact" w:val="510"/>
        </w:trPr>
        <w:tc>
          <w:tcPr>
            <w:tcW w:w="1478" w:type="pct"/>
            <w:noWrap/>
            <w:vAlign w:val="center"/>
          </w:tcPr>
          <w:p w:rsidR="00BD05F3" w:rsidRPr="00E551D9" w:rsidRDefault="00BD05F3" w:rsidP="00735A8E">
            <w:pPr>
              <w:spacing w:line="360" w:lineRule="auto"/>
              <w:jc w:val="center"/>
              <w:rPr>
                <w:szCs w:val="21"/>
              </w:rPr>
            </w:pPr>
            <w:r w:rsidRPr="00E551D9">
              <w:rPr>
                <w:rFonts w:hint="eastAsia"/>
                <w:b/>
                <w:bCs/>
                <w:szCs w:val="21"/>
              </w:rPr>
              <w:t>四川省</w:t>
            </w:r>
            <w:r w:rsidRPr="00E551D9">
              <w:rPr>
                <w:b/>
                <w:bCs/>
                <w:szCs w:val="21"/>
              </w:rPr>
              <w:t>重点学科（一级）</w:t>
            </w:r>
          </w:p>
        </w:tc>
        <w:tc>
          <w:tcPr>
            <w:tcW w:w="3522" w:type="pct"/>
            <w:vAlign w:val="center"/>
          </w:tcPr>
          <w:p w:rsidR="00BD05F3" w:rsidRPr="00E551D9" w:rsidRDefault="00BD05F3" w:rsidP="00735A8E">
            <w:pPr>
              <w:pStyle w:val="DecimalAligned"/>
              <w:spacing w:after="0" w:line="360" w:lineRule="auto"/>
              <w:jc w:val="both"/>
              <w:rPr>
                <w:rFonts w:ascii="Times New Roman" w:hAnsi="Times New Roman" w:cs="Times New Roman"/>
                <w:sz w:val="21"/>
                <w:szCs w:val="21"/>
              </w:rPr>
            </w:pPr>
            <w:r w:rsidRPr="00E551D9">
              <w:rPr>
                <w:sz w:val="21"/>
                <w:szCs w:val="21"/>
              </w:rPr>
              <w:t>作物学</w:t>
            </w:r>
            <w:r w:rsidRPr="00E551D9">
              <w:rPr>
                <w:rFonts w:hint="eastAsia"/>
                <w:sz w:val="21"/>
                <w:szCs w:val="21"/>
              </w:rPr>
              <w:t>、兽医学、畜牧学</w:t>
            </w:r>
          </w:p>
        </w:tc>
      </w:tr>
      <w:tr w:rsidR="00BD05F3" w:rsidRPr="00E551D9" w:rsidTr="00735A8E">
        <w:trPr>
          <w:trHeight w:hRule="exact" w:val="1766"/>
        </w:trPr>
        <w:tc>
          <w:tcPr>
            <w:tcW w:w="1478" w:type="pct"/>
            <w:noWrap/>
            <w:vAlign w:val="center"/>
          </w:tcPr>
          <w:p w:rsidR="00BD05F3" w:rsidRPr="00E551D9" w:rsidRDefault="00BD05F3" w:rsidP="00735A8E">
            <w:pPr>
              <w:spacing w:line="360" w:lineRule="auto"/>
              <w:jc w:val="center"/>
              <w:rPr>
                <w:b/>
                <w:bCs/>
                <w:szCs w:val="21"/>
              </w:rPr>
            </w:pPr>
            <w:r w:rsidRPr="00E551D9">
              <w:rPr>
                <w:rFonts w:hint="eastAsia"/>
                <w:b/>
                <w:bCs/>
                <w:szCs w:val="21"/>
              </w:rPr>
              <w:t>四川省</w:t>
            </w:r>
            <w:r w:rsidRPr="00E551D9">
              <w:rPr>
                <w:b/>
                <w:bCs/>
                <w:szCs w:val="21"/>
              </w:rPr>
              <w:t>重点学科</w:t>
            </w:r>
          </w:p>
          <w:p w:rsidR="00BD05F3" w:rsidRPr="00E551D9" w:rsidRDefault="00BD05F3" w:rsidP="00735A8E">
            <w:pPr>
              <w:spacing w:line="360" w:lineRule="auto"/>
              <w:jc w:val="center"/>
              <w:rPr>
                <w:szCs w:val="21"/>
              </w:rPr>
            </w:pPr>
            <w:r w:rsidRPr="00E551D9">
              <w:rPr>
                <w:b/>
                <w:bCs/>
                <w:szCs w:val="21"/>
              </w:rPr>
              <w:t>（二级）</w:t>
            </w:r>
          </w:p>
        </w:tc>
        <w:tc>
          <w:tcPr>
            <w:tcW w:w="3522" w:type="pct"/>
            <w:vAlign w:val="center"/>
          </w:tcPr>
          <w:p w:rsidR="00BD05F3" w:rsidRPr="00E551D9" w:rsidRDefault="00BD05F3" w:rsidP="00735A8E">
            <w:pPr>
              <w:pStyle w:val="DecimalAligned"/>
              <w:spacing w:after="0" w:line="360" w:lineRule="auto"/>
              <w:jc w:val="both"/>
              <w:rPr>
                <w:rFonts w:ascii="Times New Roman" w:hAnsi="Times New Roman" w:cs="Times New Roman"/>
                <w:kern w:val="2"/>
                <w:sz w:val="21"/>
                <w:szCs w:val="21"/>
              </w:rPr>
            </w:pPr>
            <w:r w:rsidRPr="00E551D9">
              <w:rPr>
                <w:sz w:val="21"/>
                <w:szCs w:val="21"/>
              </w:rPr>
              <w:t>作物遗传育种</w:t>
            </w:r>
            <w:r w:rsidRPr="00E551D9">
              <w:rPr>
                <w:rFonts w:hint="eastAsia"/>
                <w:sz w:val="21"/>
                <w:szCs w:val="21"/>
              </w:rPr>
              <w:t>、</w:t>
            </w:r>
            <w:r w:rsidRPr="00E551D9">
              <w:rPr>
                <w:rFonts w:ascii="Times New Roman" w:hAnsi="Times New Roman" w:cs="Times New Roman"/>
                <w:sz w:val="21"/>
                <w:szCs w:val="21"/>
              </w:rPr>
              <w:t>动物遗传育种与繁殖</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预防兽医学</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作物栽培学与耕作学</w:t>
            </w:r>
            <w:r w:rsidRPr="00E551D9">
              <w:rPr>
                <w:rFonts w:ascii="Times New Roman" w:hAnsi="Times New Roman" w:cs="Times New Roman" w:hint="eastAsia"/>
                <w:sz w:val="21"/>
                <w:szCs w:val="21"/>
              </w:rPr>
              <w:t>、</w:t>
            </w:r>
            <w:r w:rsidRPr="00E551D9">
              <w:rPr>
                <w:rFonts w:ascii="Times New Roman" w:hAnsi="Times New Roman" w:cs="Times New Roman"/>
                <w:kern w:val="2"/>
                <w:sz w:val="21"/>
                <w:szCs w:val="21"/>
              </w:rPr>
              <w:t>土壤</w:t>
            </w:r>
            <w:r w:rsidRPr="00E551D9">
              <w:rPr>
                <w:rFonts w:ascii="Times New Roman" w:hAnsi="Times New Roman" w:cs="Times New Roman" w:hint="eastAsia"/>
                <w:kern w:val="2"/>
                <w:sz w:val="21"/>
                <w:szCs w:val="21"/>
              </w:rPr>
              <w:t>学、</w:t>
            </w:r>
            <w:r w:rsidRPr="00E551D9">
              <w:rPr>
                <w:rFonts w:ascii="Times New Roman" w:hAnsi="Times New Roman" w:cs="Times New Roman"/>
                <w:sz w:val="21"/>
                <w:szCs w:val="21"/>
              </w:rPr>
              <w:t>森林培育</w:t>
            </w:r>
            <w:r w:rsidRPr="00E551D9">
              <w:rPr>
                <w:rFonts w:ascii="Times New Roman" w:hAnsi="Times New Roman" w:cs="Times New Roman" w:hint="eastAsia"/>
                <w:sz w:val="21"/>
                <w:szCs w:val="21"/>
              </w:rPr>
              <w:t>、</w:t>
            </w:r>
            <w:r w:rsidRPr="00E551D9">
              <w:rPr>
                <w:sz w:val="21"/>
                <w:szCs w:val="21"/>
              </w:rPr>
              <w:t>生物化学与分子生</w:t>
            </w:r>
            <w:r w:rsidRPr="00E551D9">
              <w:rPr>
                <w:rFonts w:hint="eastAsia"/>
                <w:sz w:val="21"/>
                <w:szCs w:val="21"/>
              </w:rPr>
              <w:t>物学、</w:t>
            </w:r>
            <w:r w:rsidRPr="00E551D9">
              <w:rPr>
                <w:rFonts w:ascii="Times New Roman" w:hAnsi="Times New Roman" w:cs="Times New Roman"/>
                <w:sz w:val="21"/>
                <w:szCs w:val="21"/>
              </w:rPr>
              <w:t>果树学</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草业科学</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农业经济管理</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植物病理学</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植物学</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园林植物与观赏园艺</w:t>
            </w:r>
            <w:r w:rsidRPr="00E551D9">
              <w:rPr>
                <w:rFonts w:ascii="Times New Roman" w:hAnsi="Times New Roman" w:cs="Times New Roman" w:hint="eastAsia"/>
                <w:sz w:val="21"/>
                <w:szCs w:val="21"/>
              </w:rPr>
              <w:t>、</w:t>
            </w:r>
            <w:r w:rsidRPr="00E551D9">
              <w:rPr>
                <w:rFonts w:ascii="Times New Roman" w:hAnsi="Times New Roman" w:cs="Times New Roman"/>
                <w:sz w:val="21"/>
                <w:szCs w:val="21"/>
              </w:rPr>
              <w:t>农产品加工与贮藏工程</w:t>
            </w:r>
          </w:p>
        </w:tc>
      </w:tr>
      <w:tr w:rsidR="00BD05F3" w:rsidRPr="00E551D9" w:rsidTr="00735A8E">
        <w:trPr>
          <w:trHeight w:hRule="exact" w:val="700"/>
        </w:trPr>
        <w:tc>
          <w:tcPr>
            <w:tcW w:w="1478" w:type="pct"/>
            <w:noWrap/>
            <w:vAlign w:val="center"/>
          </w:tcPr>
          <w:p w:rsidR="00BD05F3" w:rsidRPr="00E551D9" w:rsidRDefault="00BD05F3" w:rsidP="00735A8E">
            <w:pPr>
              <w:spacing w:line="360" w:lineRule="auto"/>
              <w:jc w:val="center"/>
              <w:rPr>
                <w:b/>
                <w:szCs w:val="21"/>
              </w:rPr>
            </w:pPr>
            <w:r w:rsidRPr="00E551D9">
              <w:rPr>
                <w:rFonts w:hint="eastAsia"/>
                <w:b/>
                <w:szCs w:val="21"/>
              </w:rPr>
              <w:t>四川省重点培育学科</w:t>
            </w:r>
          </w:p>
        </w:tc>
        <w:tc>
          <w:tcPr>
            <w:tcW w:w="3522" w:type="pct"/>
            <w:vAlign w:val="center"/>
          </w:tcPr>
          <w:p w:rsidR="00BD05F3" w:rsidRPr="00E551D9" w:rsidRDefault="00BD05F3" w:rsidP="00735A8E">
            <w:pPr>
              <w:pStyle w:val="DecimalAligned"/>
              <w:spacing w:after="0" w:line="360" w:lineRule="auto"/>
              <w:rPr>
                <w:rFonts w:ascii="Times New Roman" w:hAnsi="Times New Roman" w:cs="Times New Roman"/>
                <w:sz w:val="21"/>
                <w:szCs w:val="21"/>
              </w:rPr>
            </w:pPr>
            <w:r w:rsidRPr="00E551D9">
              <w:rPr>
                <w:rFonts w:ascii="Times New Roman" w:hAnsi="Times New Roman" w:cs="Times New Roman" w:hint="eastAsia"/>
                <w:sz w:val="21"/>
                <w:szCs w:val="21"/>
              </w:rPr>
              <w:t>土地资源管理、水产养殖</w:t>
            </w:r>
          </w:p>
        </w:tc>
      </w:tr>
    </w:tbl>
    <w:p w:rsidR="00F257B9" w:rsidRPr="00D44FDE" w:rsidRDefault="005E1247" w:rsidP="00C76924">
      <w:pPr>
        <w:spacing w:line="360" w:lineRule="auto"/>
        <w:outlineLvl w:val="0"/>
        <w:rPr>
          <w:b/>
        </w:rPr>
      </w:pPr>
      <w:r>
        <w:rPr>
          <w:rFonts w:hint="eastAsia"/>
          <w:b/>
        </w:rPr>
        <w:t>三</w:t>
      </w:r>
      <w:r w:rsidR="00F257B9" w:rsidRPr="00D44FDE">
        <w:rPr>
          <w:rFonts w:hint="eastAsia"/>
          <w:b/>
        </w:rPr>
        <w:t>、学校研究生培养质量持续提高</w:t>
      </w:r>
    </w:p>
    <w:p w:rsidR="00F257B9" w:rsidRPr="00794CC1" w:rsidRDefault="00F257B9" w:rsidP="00157CF8">
      <w:pPr>
        <w:spacing w:line="360" w:lineRule="auto"/>
        <w:ind w:firstLineChars="202" w:firstLine="424"/>
      </w:pPr>
      <w:r w:rsidRPr="00794CC1">
        <w:rPr>
          <w:rFonts w:hint="eastAsia"/>
        </w:rPr>
        <w:lastRenderedPageBreak/>
        <w:t>随着研究生</w:t>
      </w:r>
      <w:r w:rsidRPr="00794CC1">
        <w:t>招生规模不断扩大，</w:t>
      </w:r>
      <w:r w:rsidR="00D44FDE">
        <w:rPr>
          <w:rFonts w:hint="eastAsia"/>
        </w:rPr>
        <w:t>为</w:t>
      </w:r>
      <w:r w:rsidR="00A00F78">
        <w:rPr>
          <w:rFonts w:hint="eastAsia"/>
        </w:rPr>
        <w:t>改</w:t>
      </w:r>
      <w:r w:rsidRPr="00794CC1">
        <w:rPr>
          <w:rFonts w:hint="eastAsia"/>
        </w:rPr>
        <w:t>变研究生培养模式、保证培养</w:t>
      </w:r>
      <w:r w:rsidRPr="00794CC1">
        <w:t>质量</w:t>
      </w:r>
      <w:r w:rsidR="00D44FDE">
        <w:rPr>
          <w:rFonts w:hint="eastAsia"/>
        </w:rPr>
        <w:t>，</w:t>
      </w:r>
      <w:r w:rsidR="00A00F78">
        <w:rPr>
          <w:rFonts w:hint="eastAsia"/>
        </w:rPr>
        <w:t>学</w:t>
      </w:r>
      <w:r w:rsidR="0074715B" w:rsidRPr="00794CC1">
        <w:rPr>
          <w:rFonts w:hint="eastAsia"/>
        </w:rPr>
        <w:t>校</w:t>
      </w:r>
      <w:r w:rsidRPr="00794CC1">
        <w:rPr>
          <w:rFonts w:hint="eastAsia"/>
        </w:rPr>
        <w:t>近年来坚持以创新人才培养为核心，采取一系列措施，全面推进改革、调整研究生培养体系、提高研究生</w:t>
      </w:r>
      <w:r w:rsidRPr="00794CC1">
        <w:t>培养质量</w:t>
      </w:r>
      <w:r w:rsidRPr="00794CC1">
        <w:rPr>
          <w:rFonts w:hint="eastAsia"/>
        </w:rPr>
        <w:t>。</w:t>
      </w:r>
    </w:p>
    <w:p w:rsidR="00F257B9" w:rsidRPr="00794CC1" w:rsidRDefault="00F257B9" w:rsidP="00157CF8">
      <w:pPr>
        <w:spacing w:line="360" w:lineRule="auto"/>
        <w:ind w:firstLineChars="202" w:firstLine="424"/>
      </w:pPr>
      <w:r w:rsidRPr="00794CC1">
        <w:rPr>
          <w:rFonts w:hint="eastAsia"/>
        </w:rPr>
        <w:t>导师的综合素质和创新能力直接关系研究生培养质量。为进一步充实导师队伍，学校积极实施了“人才工程”，目前学校研究生导师队伍初具规模，全校拥有研究生导师总数为</w:t>
      </w:r>
      <w:r w:rsidRPr="00794CC1">
        <w:rPr>
          <w:rFonts w:hint="eastAsia"/>
        </w:rPr>
        <w:t>838</w:t>
      </w:r>
      <w:r w:rsidRPr="00794CC1">
        <w:rPr>
          <w:rFonts w:hint="eastAsia"/>
        </w:rPr>
        <w:t>人，其中博士生导师</w:t>
      </w:r>
      <w:r w:rsidRPr="00794CC1">
        <w:rPr>
          <w:rFonts w:hint="eastAsia"/>
        </w:rPr>
        <w:t>243</w:t>
      </w:r>
      <w:r w:rsidRPr="00794CC1">
        <w:rPr>
          <w:rFonts w:hint="eastAsia"/>
        </w:rPr>
        <w:t>名，硕士生导师</w:t>
      </w:r>
      <w:r w:rsidRPr="00794CC1">
        <w:rPr>
          <w:rFonts w:hint="eastAsia"/>
        </w:rPr>
        <w:t>595</w:t>
      </w:r>
      <w:r w:rsidRPr="00794CC1">
        <w:rPr>
          <w:rFonts w:hint="eastAsia"/>
        </w:rPr>
        <w:t>名，实现了研究生导师的持续快速增长。导师队伍的学缘结构、年龄结构也得以明显改善，绝大部分导师科研经费逐年增加，科研课题档次提高，为提高培养质量和提升创新能力创造了条件。</w:t>
      </w:r>
    </w:p>
    <w:p w:rsidR="0074715B" w:rsidRPr="00794CC1" w:rsidRDefault="0074715B" w:rsidP="00157CF8">
      <w:pPr>
        <w:spacing w:line="360" w:lineRule="auto"/>
        <w:ind w:firstLineChars="202" w:firstLine="424"/>
      </w:pPr>
      <w:r w:rsidRPr="00794CC1">
        <w:t>研究生论文发表成果显著，近三年，我校硕士研究生以第一作者发表</w:t>
      </w:r>
      <w:r w:rsidRPr="00794CC1">
        <w:t>SCI</w:t>
      </w:r>
      <w:r w:rsidRPr="00794CC1">
        <w:t>收录论文</w:t>
      </w:r>
      <w:r w:rsidRPr="00794CC1">
        <w:t>539</w:t>
      </w:r>
      <w:r w:rsidRPr="00794CC1">
        <w:t>篇，占同期全校知识产权</w:t>
      </w:r>
      <w:r w:rsidRPr="00794CC1">
        <w:t>SCI</w:t>
      </w:r>
      <w:r w:rsidRPr="00794CC1">
        <w:t>收录论文总数的</w:t>
      </w:r>
      <w:r w:rsidRPr="00794CC1">
        <w:t>39.46%</w:t>
      </w:r>
      <w:r w:rsidRPr="00794CC1">
        <w:t>，该比例在</w:t>
      </w:r>
      <w:r w:rsidRPr="00794CC1">
        <w:t>2013</w:t>
      </w:r>
      <w:r w:rsidRPr="00794CC1">
        <w:t>、</w:t>
      </w:r>
      <w:r w:rsidRPr="00794CC1">
        <w:t>2014</w:t>
      </w:r>
      <w:r w:rsidRPr="00794CC1">
        <w:t>和</w:t>
      </w:r>
      <w:r w:rsidRPr="00794CC1">
        <w:t>2015</w:t>
      </w:r>
      <w:r w:rsidRPr="00794CC1">
        <w:t>年分别达到</w:t>
      </w:r>
      <w:r w:rsidRPr="00794CC1">
        <w:t>39.01%</w:t>
      </w:r>
      <w:r w:rsidRPr="00794CC1">
        <w:t>、</w:t>
      </w:r>
      <w:r w:rsidRPr="00794CC1">
        <w:t>38.80%</w:t>
      </w:r>
      <w:r w:rsidRPr="00794CC1">
        <w:t>和</w:t>
      </w:r>
      <w:r w:rsidRPr="00794CC1">
        <w:t>40.55%</w:t>
      </w:r>
      <w:r w:rsidRPr="00794CC1">
        <w:t>。硕士研究生以第一作者发表</w:t>
      </w:r>
      <w:r w:rsidRPr="00794CC1">
        <w:t>CSCD</w:t>
      </w:r>
      <w:r w:rsidRPr="00794CC1">
        <w:t>收录论文</w:t>
      </w:r>
      <w:r w:rsidRPr="00794CC1">
        <w:t>1111</w:t>
      </w:r>
      <w:r w:rsidRPr="00794CC1">
        <w:t>篇，占同期全校知识产权</w:t>
      </w:r>
      <w:r w:rsidRPr="00794CC1">
        <w:t>CSCD</w:t>
      </w:r>
      <w:r w:rsidRPr="00794CC1">
        <w:t>核心库收录论文总数的</w:t>
      </w:r>
      <w:r w:rsidRPr="00794CC1">
        <w:t>57.06%</w:t>
      </w:r>
      <w:r w:rsidRPr="00794CC1">
        <w:t>；以第一作者发表</w:t>
      </w:r>
      <w:r w:rsidRPr="00794CC1">
        <w:t>CSSCI</w:t>
      </w:r>
      <w:r w:rsidRPr="00794CC1">
        <w:t>核心库收录论文</w:t>
      </w:r>
      <w:r w:rsidRPr="00794CC1">
        <w:t>65</w:t>
      </w:r>
      <w:r w:rsidRPr="00794CC1">
        <w:t>篇，占同期全校知识产权</w:t>
      </w:r>
      <w:r w:rsidRPr="00794CC1">
        <w:t>CSSCI</w:t>
      </w:r>
      <w:r w:rsidRPr="00794CC1">
        <w:t>收录论文总数的</w:t>
      </w:r>
      <w:r w:rsidRPr="00794CC1">
        <w:t>19.23%</w:t>
      </w:r>
      <w:r w:rsidRPr="00794CC1">
        <w:t>。博士研究生近三年以第一作者共计发表</w:t>
      </w:r>
      <w:r w:rsidRPr="00794CC1">
        <w:t>SCI</w:t>
      </w:r>
      <w:r w:rsidRPr="00794CC1">
        <w:t>收录论文</w:t>
      </w:r>
      <w:r w:rsidRPr="00794CC1">
        <w:t>472</w:t>
      </w:r>
      <w:r w:rsidRPr="00794CC1">
        <w:t>篇，占同期全校知识产权</w:t>
      </w:r>
      <w:r w:rsidRPr="00794CC1">
        <w:t>SCI</w:t>
      </w:r>
      <w:r w:rsidRPr="00794CC1">
        <w:t>收录论文总数的</w:t>
      </w:r>
      <w:r w:rsidRPr="00794CC1">
        <w:t>34.55%</w:t>
      </w:r>
      <w:r w:rsidRPr="00794CC1">
        <w:t>。</w:t>
      </w:r>
      <w:r w:rsidRPr="00794CC1" w:rsidDel="003E5E01">
        <w:t xml:space="preserve"> </w:t>
      </w:r>
      <w:r w:rsidRPr="00794CC1">
        <w:t>2013</w:t>
      </w:r>
      <w:r w:rsidRPr="00794CC1">
        <w:t>和</w:t>
      </w:r>
      <w:r w:rsidRPr="00794CC1">
        <w:t>2014</w:t>
      </w:r>
      <w:r w:rsidRPr="00794CC1">
        <w:t>年该比例分别达</w:t>
      </w:r>
      <w:r w:rsidRPr="00794CC1">
        <w:t>38.70%</w:t>
      </w:r>
      <w:r w:rsidRPr="00794CC1">
        <w:t>和</w:t>
      </w:r>
      <w:r w:rsidRPr="00794CC1">
        <w:t>40.74%</w:t>
      </w:r>
      <w:r w:rsidRPr="00794CC1">
        <w:t>，比例逐年呈上升趋势。博士研究生以第一作者发表</w:t>
      </w:r>
      <w:r w:rsidRPr="00794CC1">
        <w:t>CSCD</w:t>
      </w:r>
      <w:r w:rsidRPr="00794CC1">
        <w:t>核心库收录论文</w:t>
      </w:r>
      <w:r w:rsidRPr="00794CC1">
        <w:t>289</w:t>
      </w:r>
      <w:r w:rsidRPr="00794CC1">
        <w:t>篇，占同期全校知识产权</w:t>
      </w:r>
      <w:r w:rsidRPr="00794CC1">
        <w:t>CSCD</w:t>
      </w:r>
      <w:r w:rsidRPr="00794CC1">
        <w:t>收录论文总数的</w:t>
      </w:r>
      <w:r w:rsidRPr="00794CC1">
        <w:t>14.84%</w:t>
      </w:r>
      <w:r w:rsidRPr="00794CC1">
        <w:t>。同期，博士研究生以第一作者发表</w:t>
      </w:r>
      <w:r w:rsidRPr="00794CC1">
        <w:t>CSSCI</w:t>
      </w:r>
      <w:r w:rsidRPr="00794CC1">
        <w:t>核心库收录论文</w:t>
      </w:r>
      <w:r w:rsidRPr="00794CC1">
        <w:t>35</w:t>
      </w:r>
      <w:r w:rsidRPr="00794CC1">
        <w:t>篇，占同期全校知识产权</w:t>
      </w:r>
      <w:r w:rsidRPr="00794CC1">
        <w:t>CSSCI</w:t>
      </w:r>
      <w:r w:rsidRPr="00794CC1">
        <w:t>收录论文总数的</w:t>
      </w:r>
      <w:r w:rsidRPr="00794CC1">
        <w:t>10.36%</w:t>
      </w:r>
      <w:r w:rsidRPr="00794CC1">
        <w:t>。</w:t>
      </w:r>
    </w:p>
    <w:p w:rsidR="0074715B" w:rsidRPr="00794CC1" w:rsidRDefault="0074715B" w:rsidP="00157CF8">
      <w:pPr>
        <w:spacing w:line="360" w:lineRule="auto"/>
        <w:ind w:firstLineChars="202" w:firstLine="424"/>
      </w:pPr>
      <w:r w:rsidRPr="00794CC1">
        <w:t>例如：动物遗传育种与繁殖专业硕博连读生金龙同学，在读期间以第一作者或共同第一作者发表</w:t>
      </w:r>
      <w:r w:rsidRPr="00794CC1">
        <w:t>SCI</w:t>
      </w:r>
      <w:r w:rsidRPr="00794CC1">
        <w:t>论文</w:t>
      </w:r>
      <w:r w:rsidRPr="00794CC1">
        <w:t>8</w:t>
      </w:r>
      <w:r w:rsidRPr="00794CC1">
        <w:t>篇，累计影响因子达到</w:t>
      </w:r>
      <w:r w:rsidRPr="00794CC1">
        <w:t>44.95</w:t>
      </w:r>
      <w:r w:rsidRPr="00794CC1">
        <w:t>，其中共同第一作者在国际顶尖杂志《</w:t>
      </w:r>
      <w:r w:rsidRPr="00794CC1">
        <w:t>Nature Genetics</w:t>
      </w:r>
      <w:r w:rsidRPr="00794CC1">
        <w:t>》上发表论文，</w:t>
      </w:r>
      <w:r w:rsidRPr="00794CC1">
        <w:t>SCI</w:t>
      </w:r>
      <w:r w:rsidRPr="00794CC1">
        <w:t>影响因子达到了</w:t>
      </w:r>
      <w:r w:rsidRPr="00794CC1">
        <w:t>29.648</w:t>
      </w:r>
      <w:r w:rsidRPr="00794CC1">
        <w:t>。</w:t>
      </w:r>
    </w:p>
    <w:p w:rsidR="0074715B" w:rsidRPr="00794CC1" w:rsidRDefault="0074715B" w:rsidP="00157CF8">
      <w:pPr>
        <w:spacing w:line="360" w:lineRule="auto"/>
        <w:ind w:firstLineChars="202" w:firstLine="424"/>
      </w:pPr>
      <w:r w:rsidRPr="00794CC1">
        <w:t>作物遗传育种专业硕博连读生马建同学，博士期间发表</w:t>
      </w:r>
      <w:r w:rsidRPr="00794CC1">
        <w:t>SCI</w:t>
      </w:r>
      <w:r w:rsidRPr="00794CC1">
        <w:t>收录论文</w:t>
      </w:r>
      <w:r w:rsidRPr="00794CC1">
        <w:t>20</w:t>
      </w:r>
      <w:r w:rsidRPr="00794CC1">
        <w:t>篇，累计影响因子达到</w:t>
      </w:r>
      <w:r w:rsidRPr="00794CC1">
        <w:t>46</w:t>
      </w:r>
      <w:r w:rsidRPr="00794CC1">
        <w:t>，其中以第一作者或共同第一作者发表</w:t>
      </w:r>
      <w:r w:rsidRPr="00794CC1">
        <w:t>SCI</w:t>
      </w:r>
      <w:r w:rsidRPr="00794CC1">
        <w:t>收录论文</w:t>
      </w:r>
      <w:r w:rsidRPr="00794CC1">
        <w:t>11</w:t>
      </w:r>
      <w:r w:rsidRPr="00794CC1">
        <w:t>篇，获得授权国家发明专利</w:t>
      </w:r>
      <w:r w:rsidRPr="00794CC1">
        <w:t>4</w:t>
      </w:r>
      <w:r w:rsidRPr="00794CC1">
        <w:t>项，先后获得登海种业奖学金，博士研究生国家奖学金和澳大利亚联邦科工组织农业研究所</w:t>
      </w:r>
      <w:r w:rsidRPr="00794CC1">
        <w:t>“Student Award”</w:t>
      </w:r>
      <w:r w:rsidRPr="00794CC1">
        <w:t>（每年仅评选一名优秀研究生）。</w:t>
      </w:r>
    </w:p>
    <w:p w:rsidR="0074715B" w:rsidRDefault="00D44FDE" w:rsidP="00157CF8">
      <w:pPr>
        <w:spacing w:line="360" w:lineRule="auto"/>
        <w:ind w:firstLineChars="202" w:firstLine="424"/>
      </w:pPr>
      <w:r>
        <w:rPr>
          <w:rFonts w:hint="eastAsia"/>
        </w:rPr>
        <w:t>周浩同学</w:t>
      </w:r>
      <w:r w:rsidR="0074715B" w:rsidRPr="00794CC1">
        <w:rPr>
          <w:rFonts w:hint="eastAsia"/>
        </w:rPr>
        <w:t>硕士研究生三年学习期间，在</w:t>
      </w:r>
      <w:r w:rsidR="0074715B" w:rsidRPr="00794CC1">
        <w:rPr>
          <w:rFonts w:hint="eastAsia"/>
        </w:rPr>
        <w:t>Scientific Reports</w:t>
      </w:r>
      <w:r w:rsidR="0074715B" w:rsidRPr="00794CC1">
        <w:rPr>
          <w:rFonts w:hint="eastAsia"/>
        </w:rPr>
        <w:t>、</w:t>
      </w:r>
      <w:r w:rsidR="0074715B" w:rsidRPr="00794CC1">
        <w:rPr>
          <w:rFonts w:hint="eastAsia"/>
        </w:rPr>
        <w:t>Frontiers in Microbiology</w:t>
      </w:r>
      <w:r w:rsidR="0074715B" w:rsidRPr="00794CC1">
        <w:rPr>
          <w:rFonts w:hint="eastAsia"/>
        </w:rPr>
        <w:t>、</w:t>
      </w:r>
      <w:r w:rsidR="0074715B" w:rsidRPr="00794CC1">
        <w:rPr>
          <w:rFonts w:hint="eastAsia"/>
        </w:rPr>
        <w:t>Infection, Genetics and Evolution</w:t>
      </w:r>
      <w:r w:rsidR="0074715B" w:rsidRPr="00794CC1">
        <w:rPr>
          <w:rFonts w:hint="eastAsia"/>
        </w:rPr>
        <w:t>等国际知名期刊发表</w:t>
      </w:r>
      <w:r w:rsidR="0074715B" w:rsidRPr="00794CC1">
        <w:rPr>
          <w:rFonts w:hint="eastAsia"/>
        </w:rPr>
        <w:t>SCI</w:t>
      </w:r>
      <w:r w:rsidR="0074715B" w:rsidRPr="00794CC1">
        <w:rPr>
          <w:rFonts w:hint="eastAsia"/>
        </w:rPr>
        <w:t>收录论文</w:t>
      </w:r>
      <w:r w:rsidR="0074715B" w:rsidRPr="00794CC1">
        <w:rPr>
          <w:rFonts w:hint="eastAsia"/>
        </w:rPr>
        <w:t>7</w:t>
      </w:r>
      <w:r w:rsidR="0074715B" w:rsidRPr="00794CC1">
        <w:rPr>
          <w:rFonts w:hint="eastAsia"/>
        </w:rPr>
        <w:t>篇，累积影响因子</w:t>
      </w:r>
      <w:r w:rsidR="0074715B" w:rsidRPr="00794CC1">
        <w:rPr>
          <w:rFonts w:hint="eastAsia"/>
        </w:rPr>
        <w:t>20.833</w:t>
      </w:r>
      <w:r w:rsidR="00735F00" w:rsidRPr="00794CC1">
        <w:rPr>
          <w:rFonts w:hint="eastAsia"/>
        </w:rPr>
        <w:t>。</w:t>
      </w:r>
    </w:p>
    <w:p w:rsidR="005E1247" w:rsidRPr="00055354" w:rsidRDefault="005E1247" w:rsidP="005E1247">
      <w:pPr>
        <w:spacing w:line="360" w:lineRule="auto"/>
        <w:outlineLvl w:val="0"/>
        <w:rPr>
          <w:rFonts w:asciiTheme="majorEastAsia" w:eastAsiaTheme="majorEastAsia" w:hAnsiTheme="majorEastAsia"/>
          <w:b/>
          <w:szCs w:val="21"/>
        </w:rPr>
      </w:pPr>
      <w:r>
        <w:rPr>
          <w:rFonts w:asciiTheme="majorEastAsia" w:eastAsiaTheme="majorEastAsia" w:hAnsiTheme="majorEastAsia"/>
          <w:b/>
          <w:szCs w:val="21"/>
        </w:rPr>
        <w:t>四</w:t>
      </w:r>
      <w:r w:rsidRPr="00055354">
        <w:rPr>
          <w:rFonts w:asciiTheme="majorEastAsia" w:eastAsiaTheme="majorEastAsia" w:hAnsiTheme="majorEastAsia"/>
          <w:b/>
          <w:szCs w:val="21"/>
        </w:rPr>
        <w:t>、</w:t>
      </w:r>
      <w:r>
        <w:rPr>
          <w:rFonts w:asciiTheme="majorEastAsia" w:eastAsiaTheme="majorEastAsia" w:hAnsiTheme="majorEastAsia"/>
          <w:b/>
          <w:szCs w:val="21"/>
        </w:rPr>
        <w:t>全日制与非全日制</w:t>
      </w:r>
      <w:r w:rsidRPr="00055354">
        <w:rPr>
          <w:rFonts w:asciiTheme="majorEastAsia" w:eastAsiaTheme="majorEastAsia" w:hAnsiTheme="majorEastAsia"/>
          <w:b/>
          <w:szCs w:val="21"/>
        </w:rPr>
        <w:t>硕士研究生的报考和录取</w:t>
      </w:r>
    </w:p>
    <w:p w:rsidR="005E1247" w:rsidRPr="0022106E" w:rsidRDefault="005E1247" w:rsidP="005E1247">
      <w:pPr>
        <w:spacing w:line="360" w:lineRule="auto"/>
        <w:rPr>
          <w:b/>
          <w:szCs w:val="21"/>
        </w:rPr>
      </w:pPr>
      <w:r w:rsidRPr="0022106E">
        <w:rPr>
          <w:rFonts w:hint="eastAsia"/>
          <w:b/>
          <w:szCs w:val="21"/>
        </w:rPr>
        <w:t>招生计划</w:t>
      </w:r>
    </w:p>
    <w:p w:rsidR="005E1247" w:rsidRPr="00055354" w:rsidRDefault="005E1247" w:rsidP="005E1247">
      <w:pPr>
        <w:spacing w:line="360" w:lineRule="auto"/>
        <w:ind w:firstLineChars="202" w:firstLine="424"/>
        <w:rPr>
          <w:szCs w:val="21"/>
        </w:rPr>
      </w:pPr>
      <w:r w:rsidRPr="00055354">
        <w:rPr>
          <w:rFonts w:hint="eastAsia"/>
          <w:szCs w:val="21"/>
        </w:rPr>
        <w:t>我校</w:t>
      </w:r>
      <w:r w:rsidRPr="00055354">
        <w:rPr>
          <w:rFonts w:hint="eastAsia"/>
          <w:szCs w:val="21"/>
        </w:rPr>
        <w:t>2017</w:t>
      </w:r>
      <w:r w:rsidRPr="00055354">
        <w:rPr>
          <w:rFonts w:hint="eastAsia"/>
          <w:szCs w:val="21"/>
        </w:rPr>
        <w:t>年预计招收全日制学术型学位研究生</w:t>
      </w:r>
      <w:r w:rsidRPr="00055354">
        <w:rPr>
          <w:rFonts w:hint="eastAsia"/>
          <w:szCs w:val="21"/>
        </w:rPr>
        <w:t>700</w:t>
      </w:r>
      <w:r w:rsidRPr="00055354">
        <w:rPr>
          <w:rFonts w:hint="eastAsia"/>
          <w:szCs w:val="21"/>
        </w:rPr>
        <w:t>名左右，</w:t>
      </w:r>
      <w:r w:rsidR="003B33EE" w:rsidRPr="00055354">
        <w:rPr>
          <w:rFonts w:hint="eastAsia"/>
          <w:szCs w:val="21"/>
        </w:rPr>
        <w:t>全日制</w:t>
      </w:r>
      <w:r w:rsidRPr="00055354">
        <w:rPr>
          <w:rFonts w:hint="eastAsia"/>
          <w:szCs w:val="21"/>
        </w:rPr>
        <w:t>专业学位研究生</w:t>
      </w:r>
      <w:r w:rsidRPr="00055354">
        <w:rPr>
          <w:rFonts w:hint="eastAsia"/>
          <w:szCs w:val="21"/>
        </w:rPr>
        <w:t>500</w:t>
      </w:r>
      <w:r w:rsidRPr="00055354">
        <w:rPr>
          <w:rFonts w:hint="eastAsia"/>
          <w:szCs w:val="21"/>
        </w:rPr>
        <w:t>名左右</w:t>
      </w:r>
      <w:r w:rsidR="00A777D2">
        <w:rPr>
          <w:rFonts w:hint="eastAsia"/>
          <w:szCs w:val="21"/>
        </w:rPr>
        <w:t>，非全日制硕士研究生</w:t>
      </w:r>
      <w:r w:rsidR="00A777D2">
        <w:rPr>
          <w:rFonts w:hint="eastAsia"/>
          <w:szCs w:val="21"/>
        </w:rPr>
        <w:t>300</w:t>
      </w:r>
      <w:r w:rsidR="00A777D2">
        <w:rPr>
          <w:rFonts w:hint="eastAsia"/>
          <w:szCs w:val="21"/>
        </w:rPr>
        <w:t>名左右</w:t>
      </w:r>
      <w:r w:rsidRPr="00055354">
        <w:rPr>
          <w:rFonts w:hint="eastAsia"/>
          <w:szCs w:val="21"/>
        </w:rPr>
        <w:t>（最终计划以教育部下达的为准）。</w:t>
      </w:r>
    </w:p>
    <w:p w:rsidR="005E1247" w:rsidRPr="0022106E" w:rsidRDefault="005E1247" w:rsidP="005E1247">
      <w:pPr>
        <w:spacing w:line="360" w:lineRule="auto"/>
        <w:rPr>
          <w:b/>
          <w:szCs w:val="21"/>
        </w:rPr>
      </w:pPr>
      <w:r w:rsidRPr="0022106E">
        <w:rPr>
          <w:rFonts w:hint="eastAsia"/>
          <w:b/>
          <w:szCs w:val="21"/>
        </w:rPr>
        <w:t>报考方式</w:t>
      </w:r>
      <w:r w:rsidR="00190BFF">
        <w:rPr>
          <w:rFonts w:hint="eastAsia"/>
          <w:b/>
          <w:szCs w:val="21"/>
        </w:rPr>
        <w:t xml:space="preserve"> </w:t>
      </w:r>
    </w:p>
    <w:p w:rsidR="005E1247" w:rsidRPr="00055354" w:rsidRDefault="005E1247" w:rsidP="005E1247">
      <w:pPr>
        <w:spacing w:line="360" w:lineRule="auto"/>
        <w:ind w:firstLineChars="202" w:firstLine="424"/>
        <w:rPr>
          <w:szCs w:val="21"/>
        </w:rPr>
      </w:pPr>
      <w:r w:rsidRPr="00055354">
        <w:rPr>
          <w:rFonts w:hint="eastAsia"/>
          <w:szCs w:val="21"/>
        </w:rPr>
        <w:t>分为全国统考、推荐免试和单独考试三种方式。</w:t>
      </w:r>
    </w:p>
    <w:p w:rsidR="005E1247" w:rsidRPr="0022106E" w:rsidRDefault="005E1247" w:rsidP="005E1247">
      <w:pPr>
        <w:spacing w:line="360" w:lineRule="auto"/>
        <w:rPr>
          <w:b/>
          <w:szCs w:val="21"/>
        </w:rPr>
      </w:pPr>
      <w:r w:rsidRPr="0022106E">
        <w:rPr>
          <w:rFonts w:hint="eastAsia"/>
          <w:b/>
          <w:szCs w:val="21"/>
        </w:rPr>
        <w:t>（一）全国统考报名条件</w:t>
      </w:r>
    </w:p>
    <w:p w:rsidR="005E1247" w:rsidRPr="00055354" w:rsidRDefault="005E1247" w:rsidP="005E1247">
      <w:pPr>
        <w:spacing w:line="360" w:lineRule="auto"/>
        <w:ind w:firstLineChars="202" w:firstLine="424"/>
        <w:rPr>
          <w:szCs w:val="21"/>
        </w:rPr>
      </w:pPr>
      <w:r w:rsidRPr="00055354">
        <w:rPr>
          <w:rFonts w:hint="eastAsia"/>
          <w:szCs w:val="21"/>
        </w:rPr>
        <w:t xml:space="preserve">1. </w:t>
      </w:r>
      <w:r w:rsidRPr="00055354">
        <w:rPr>
          <w:rFonts w:hint="eastAsia"/>
          <w:szCs w:val="21"/>
        </w:rPr>
        <w:t>国家承认学历的应届毕业本科生（最迟在录取当年</w:t>
      </w:r>
      <w:r w:rsidRPr="00055354">
        <w:rPr>
          <w:rFonts w:hint="eastAsia"/>
          <w:szCs w:val="21"/>
        </w:rPr>
        <w:t>9</w:t>
      </w:r>
      <w:r w:rsidRPr="00055354">
        <w:rPr>
          <w:rFonts w:hint="eastAsia"/>
          <w:szCs w:val="21"/>
        </w:rPr>
        <w:t>月</w:t>
      </w:r>
      <w:r w:rsidRPr="00055354">
        <w:rPr>
          <w:rFonts w:hint="eastAsia"/>
          <w:szCs w:val="21"/>
        </w:rPr>
        <w:t>1</w:t>
      </w:r>
      <w:r w:rsidRPr="00055354">
        <w:rPr>
          <w:rFonts w:hint="eastAsia"/>
          <w:szCs w:val="21"/>
        </w:rPr>
        <w:t>日前取得本科毕业证书）；</w:t>
      </w:r>
    </w:p>
    <w:p w:rsidR="005E1247" w:rsidRPr="00055354" w:rsidRDefault="005E1247" w:rsidP="005E1247">
      <w:pPr>
        <w:spacing w:line="360" w:lineRule="auto"/>
        <w:ind w:firstLineChars="202" w:firstLine="424"/>
        <w:rPr>
          <w:szCs w:val="21"/>
        </w:rPr>
      </w:pPr>
      <w:r w:rsidRPr="00055354">
        <w:rPr>
          <w:rFonts w:hint="eastAsia"/>
          <w:szCs w:val="21"/>
        </w:rPr>
        <w:lastRenderedPageBreak/>
        <w:t xml:space="preserve">2. </w:t>
      </w:r>
      <w:r w:rsidRPr="00055354">
        <w:rPr>
          <w:rFonts w:hint="eastAsia"/>
          <w:szCs w:val="21"/>
        </w:rPr>
        <w:t>具有国家承认的大学本科毕业学历者；</w:t>
      </w:r>
    </w:p>
    <w:p w:rsidR="005E1247" w:rsidRPr="00055354" w:rsidRDefault="005E1247" w:rsidP="005E1247">
      <w:pPr>
        <w:spacing w:line="360" w:lineRule="auto"/>
        <w:ind w:firstLineChars="202" w:firstLine="424"/>
        <w:rPr>
          <w:szCs w:val="21"/>
        </w:rPr>
      </w:pPr>
      <w:r w:rsidRPr="00055354">
        <w:rPr>
          <w:rFonts w:hint="eastAsia"/>
          <w:szCs w:val="21"/>
        </w:rPr>
        <w:t xml:space="preserve">3. </w:t>
      </w:r>
      <w:r w:rsidRPr="00055354">
        <w:rPr>
          <w:rFonts w:hint="eastAsia"/>
          <w:szCs w:val="21"/>
        </w:rPr>
        <w:t>国家承认学历的本科结业生和毕业两年后的专科毕业生，可视为达到所学专业本科毕业生同等学力；</w:t>
      </w:r>
    </w:p>
    <w:p w:rsidR="00B546EA" w:rsidRPr="00B546EA" w:rsidRDefault="005E1247" w:rsidP="00B546EA">
      <w:pPr>
        <w:spacing w:line="360" w:lineRule="auto"/>
        <w:ind w:firstLineChars="202" w:firstLine="424"/>
        <w:rPr>
          <w:rFonts w:hint="eastAsia"/>
          <w:szCs w:val="21"/>
        </w:rPr>
      </w:pPr>
      <w:r w:rsidRPr="00055354">
        <w:rPr>
          <w:rFonts w:hint="eastAsia"/>
          <w:szCs w:val="21"/>
        </w:rPr>
        <w:t xml:space="preserve">4. </w:t>
      </w:r>
      <w:r w:rsidR="00B546EA" w:rsidRPr="00B546EA">
        <w:rPr>
          <w:rFonts w:hint="eastAsia"/>
          <w:szCs w:val="21"/>
        </w:rPr>
        <w:t>报考公共管理、旅游管理专业必须满足以下条件：</w:t>
      </w:r>
    </w:p>
    <w:p w:rsidR="005E1247" w:rsidRDefault="00B546EA" w:rsidP="00B546EA">
      <w:pPr>
        <w:spacing w:line="360" w:lineRule="auto"/>
        <w:ind w:firstLineChars="202" w:firstLine="424"/>
        <w:rPr>
          <w:szCs w:val="21"/>
        </w:rPr>
      </w:pPr>
      <w:r w:rsidRPr="00B546EA">
        <w:rPr>
          <w:rFonts w:hint="eastAsia"/>
          <w:szCs w:val="21"/>
        </w:rPr>
        <w:t>大学本科毕业后有</w:t>
      </w:r>
      <w:r w:rsidRPr="00B546EA">
        <w:rPr>
          <w:rFonts w:hint="eastAsia"/>
          <w:szCs w:val="21"/>
        </w:rPr>
        <w:t>3</w:t>
      </w:r>
      <w:r w:rsidRPr="00B546EA">
        <w:rPr>
          <w:rFonts w:hint="eastAsia"/>
          <w:szCs w:val="21"/>
        </w:rPr>
        <w:t>年以上工作经验的人员；或获得国家承认的高职高专毕业学历后，有</w:t>
      </w:r>
      <w:r w:rsidRPr="00B546EA">
        <w:rPr>
          <w:rFonts w:hint="eastAsia"/>
          <w:szCs w:val="21"/>
        </w:rPr>
        <w:t>5</w:t>
      </w:r>
      <w:r w:rsidRPr="00B546EA">
        <w:rPr>
          <w:rFonts w:hint="eastAsia"/>
          <w:szCs w:val="21"/>
        </w:rPr>
        <w:t>年以上工作经验，达到与大学本科毕业生同等学力的人员；或已获硕士学位或博士学位并有</w:t>
      </w:r>
      <w:r w:rsidRPr="00B546EA">
        <w:rPr>
          <w:rFonts w:hint="eastAsia"/>
          <w:szCs w:val="21"/>
        </w:rPr>
        <w:t>2</w:t>
      </w:r>
      <w:r w:rsidRPr="00B546EA">
        <w:rPr>
          <w:rFonts w:hint="eastAsia"/>
          <w:szCs w:val="21"/>
        </w:rPr>
        <w:t>年以上工作经验的人员。</w:t>
      </w:r>
    </w:p>
    <w:p w:rsidR="005E1247" w:rsidRPr="0022106E" w:rsidRDefault="005E1247" w:rsidP="005E1247">
      <w:pPr>
        <w:spacing w:line="360" w:lineRule="auto"/>
        <w:rPr>
          <w:b/>
          <w:szCs w:val="21"/>
        </w:rPr>
      </w:pPr>
      <w:r w:rsidRPr="0022106E">
        <w:rPr>
          <w:b/>
          <w:szCs w:val="21"/>
        </w:rPr>
        <w:t>（二）接收推荐免试硕士生进入复试条件</w:t>
      </w:r>
    </w:p>
    <w:p w:rsidR="005E1247" w:rsidRPr="00055354" w:rsidRDefault="005E1247" w:rsidP="005E1247">
      <w:pPr>
        <w:spacing w:line="360" w:lineRule="auto"/>
        <w:ind w:firstLineChars="202" w:firstLine="424"/>
        <w:rPr>
          <w:szCs w:val="21"/>
        </w:rPr>
      </w:pPr>
      <w:r w:rsidRPr="00055354">
        <w:rPr>
          <w:szCs w:val="21"/>
        </w:rPr>
        <w:t>1.</w:t>
      </w:r>
      <w:r w:rsidRPr="00055354">
        <w:rPr>
          <w:rFonts w:hint="eastAsia"/>
          <w:szCs w:val="21"/>
        </w:rPr>
        <w:t>已取得本科就读高校的推荐免试资格；</w:t>
      </w:r>
    </w:p>
    <w:p w:rsidR="005E1247" w:rsidRPr="00055354" w:rsidRDefault="005E1247" w:rsidP="005E1247">
      <w:pPr>
        <w:spacing w:line="360" w:lineRule="auto"/>
        <w:ind w:firstLineChars="202" w:firstLine="424"/>
        <w:rPr>
          <w:szCs w:val="21"/>
        </w:rPr>
      </w:pPr>
      <w:r w:rsidRPr="00055354">
        <w:rPr>
          <w:szCs w:val="21"/>
        </w:rPr>
        <w:t>2.</w:t>
      </w:r>
      <w:r w:rsidRPr="00055354">
        <w:rPr>
          <w:rFonts w:hint="eastAsia"/>
          <w:szCs w:val="21"/>
        </w:rPr>
        <w:t>具有高尚的道德情操，社会责任感强，诚实守信，品行优良，积极向上，身心健康；</w:t>
      </w:r>
    </w:p>
    <w:p w:rsidR="005E1247" w:rsidRPr="00055354" w:rsidRDefault="005E1247" w:rsidP="005E1247">
      <w:pPr>
        <w:spacing w:line="360" w:lineRule="auto"/>
        <w:ind w:firstLineChars="202" w:firstLine="424"/>
        <w:rPr>
          <w:szCs w:val="21"/>
        </w:rPr>
      </w:pPr>
      <w:r w:rsidRPr="00055354">
        <w:rPr>
          <w:szCs w:val="21"/>
        </w:rPr>
        <w:t>3.</w:t>
      </w:r>
      <w:r w:rsidRPr="00055354">
        <w:rPr>
          <w:rFonts w:hint="eastAsia"/>
          <w:szCs w:val="21"/>
        </w:rPr>
        <w:t>申请攻读学术学位硕士研究生者，须有较强的创新意识和创新能力。</w:t>
      </w:r>
    </w:p>
    <w:p w:rsidR="005E1247" w:rsidRPr="0022106E" w:rsidRDefault="005E1247" w:rsidP="005E1247">
      <w:pPr>
        <w:spacing w:line="360" w:lineRule="auto"/>
        <w:jc w:val="left"/>
        <w:rPr>
          <w:b/>
          <w:szCs w:val="21"/>
        </w:rPr>
      </w:pPr>
      <w:r w:rsidRPr="0022106E">
        <w:rPr>
          <w:b/>
          <w:szCs w:val="21"/>
        </w:rPr>
        <w:t>（三）单独考试报名条件</w:t>
      </w:r>
    </w:p>
    <w:p w:rsidR="005E1247" w:rsidRPr="00055354" w:rsidRDefault="005E1247" w:rsidP="005E1247">
      <w:pPr>
        <w:spacing w:line="360" w:lineRule="auto"/>
        <w:ind w:firstLineChars="202" w:firstLine="424"/>
        <w:rPr>
          <w:szCs w:val="21"/>
        </w:rPr>
      </w:pPr>
      <w:r w:rsidRPr="00055354">
        <w:rPr>
          <w:rFonts w:hint="eastAsia"/>
          <w:szCs w:val="21"/>
        </w:rPr>
        <w:t xml:space="preserve">1. </w:t>
      </w:r>
      <w:r w:rsidRPr="00055354">
        <w:rPr>
          <w:rFonts w:hint="eastAsia"/>
          <w:szCs w:val="21"/>
        </w:rPr>
        <w:t>取得国家承认的大学本科学历后连续工作</w:t>
      </w:r>
      <w:r w:rsidRPr="00055354">
        <w:rPr>
          <w:rFonts w:hint="eastAsia"/>
          <w:szCs w:val="21"/>
        </w:rPr>
        <w:t>4</w:t>
      </w:r>
      <w:r w:rsidRPr="00055354">
        <w:rPr>
          <w:rFonts w:hint="eastAsia"/>
          <w:szCs w:val="21"/>
        </w:rPr>
        <w:t>年以上；</w:t>
      </w:r>
    </w:p>
    <w:p w:rsidR="005E1247" w:rsidRPr="00055354" w:rsidRDefault="005E1247" w:rsidP="005E1247">
      <w:pPr>
        <w:spacing w:line="360" w:lineRule="auto"/>
        <w:ind w:firstLineChars="202" w:firstLine="424"/>
        <w:rPr>
          <w:szCs w:val="21"/>
        </w:rPr>
      </w:pPr>
      <w:r w:rsidRPr="00055354">
        <w:rPr>
          <w:rFonts w:hint="eastAsia"/>
          <w:szCs w:val="21"/>
        </w:rPr>
        <w:t xml:space="preserve">2. </w:t>
      </w:r>
      <w:r w:rsidRPr="00055354">
        <w:rPr>
          <w:rFonts w:hint="eastAsia"/>
          <w:szCs w:val="21"/>
        </w:rPr>
        <w:t>业务优秀，已经发表过研究论文或者已经成为业务骨干；</w:t>
      </w:r>
    </w:p>
    <w:p w:rsidR="005E1247" w:rsidRPr="00055354" w:rsidRDefault="005E1247" w:rsidP="005E1247">
      <w:pPr>
        <w:spacing w:line="360" w:lineRule="auto"/>
        <w:ind w:firstLineChars="202" w:firstLine="424"/>
        <w:rPr>
          <w:szCs w:val="21"/>
        </w:rPr>
      </w:pPr>
      <w:r w:rsidRPr="00055354">
        <w:rPr>
          <w:rFonts w:hint="eastAsia"/>
          <w:szCs w:val="21"/>
        </w:rPr>
        <w:t xml:space="preserve">3. </w:t>
      </w:r>
      <w:r w:rsidRPr="00055354">
        <w:rPr>
          <w:rFonts w:hint="eastAsia"/>
          <w:szCs w:val="21"/>
        </w:rPr>
        <w:t>经两名具有高级专业技术职称的专家推荐；</w:t>
      </w:r>
    </w:p>
    <w:p w:rsidR="005E1247" w:rsidRPr="00055354" w:rsidRDefault="005E1247" w:rsidP="005E1247">
      <w:pPr>
        <w:spacing w:line="360" w:lineRule="auto"/>
        <w:ind w:firstLineChars="202" w:firstLine="424"/>
        <w:rPr>
          <w:szCs w:val="21"/>
        </w:rPr>
      </w:pPr>
      <w:r w:rsidRPr="00055354">
        <w:rPr>
          <w:rFonts w:hint="eastAsia"/>
          <w:szCs w:val="21"/>
        </w:rPr>
        <w:t xml:space="preserve">4. </w:t>
      </w:r>
      <w:r w:rsidRPr="00055354">
        <w:rPr>
          <w:rFonts w:hint="eastAsia"/>
          <w:szCs w:val="21"/>
        </w:rPr>
        <w:t>所在单位同意并定向就业本单位的在职人员。</w:t>
      </w:r>
    </w:p>
    <w:p w:rsidR="005E1247" w:rsidRPr="0022106E" w:rsidRDefault="005E1247" w:rsidP="005E1247">
      <w:pPr>
        <w:spacing w:line="360" w:lineRule="auto"/>
        <w:ind w:firstLineChars="202" w:firstLine="426"/>
        <w:rPr>
          <w:b/>
          <w:szCs w:val="21"/>
        </w:rPr>
      </w:pPr>
      <w:r w:rsidRPr="0022106E">
        <w:rPr>
          <w:rFonts w:hint="eastAsia"/>
          <w:b/>
          <w:szCs w:val="21"/>
        </w:rPr>
        <w:t>考试</w:t>
      </w:r>
    </w:p>
    <w:p w:rsidR="005E1247" w:rsidRPr="0022106E" w:rsidRDefault="005E1247" w:rsidP="00B546EA">
      <w:pPr>
        <w:spacing w:line="360" w:lineRule="auto"/>
        <w:rPr>
          <w:b/>
          <w:szCs w:val="21"/>
        </w:rPr>
      </w:pPr>
      <w:r w:rsidRPr="0022106E">
        <w:rPr>
          <w:rFonts w:hint="eastAsia"/>
          <w:b/>
          <w:szCs w:val="21"/>
        </w:rPr>
        <w:t>（一）初试</w:t>
      </w:r>
    </w:p>
    <w:p w:rsidR="005E1247" w:rsidRPr="00055354" w:rsidRDefault="005E1247" w:rsidP="005E1247">
      <w:pPr>
        <w:spacing w:line="360" w:lineRule="auto"/>
        <w:ind w:firstLineChars="202" w:firstLine="424"/>
        <w:rPr>
          <w:szCs w:val="21"/>
        </w:rPr>
      </w:pPr>
      <w:r w:rsidRPr="00055354">
        <w:rPr>
          <w:rFonts w:hint="eastAsia"/>
          <w:szCs w:val="21"/>
        </w:rPr>
        <w:t xml:space="preserve">1. </w:t>
      </w:r>
      <w:r w:rsidRPr="00055354">
        <w:rPr>
          <w:rFonts w:hint="eastAsia"/>
          <w:szCs w:val="21"/>
        </w:rPr>
        <w:t>初试由国家统一组织，报名全国统考、单独考试的考生按照专业目录公布的考试科目参加笔试。</w:t>
      </w:r>
    </w:p>
    <w:p w:rsidR="005E1247" w:rsidRPr="00055354" w:rsidRDefault="005E1247" w:rsidP="005E1247">
      <w:pPr>
        <w:spacing w:line="360" w:lineRule="auto"/>
        <w:ind w:firstLineChars="202" w:firstLine="424"/>
        <w:rPr>
          <w:szCs w:val="21"/>
        </w:rPr>
      </w:pPr>
      <w:r w:rsidRPr="00055354">
        <w:rPr>
          <w:rFonts w:hint="eastAsia"/>
          <w:szCs w:val="21"/>
        </w:rPr>
        <w:t xml:space="preserve">2. </w:t>
      </w:r>
      <w:r w:rsidRPr="00055354">
        <w:rPr>
          <w:rFonts w:hint="eastAsia"/>
          <w:szCs w:val="21"/>
        </w:rPr>
        <w:t>推荐免试考生免初试。</w:t>
      </w:r>
    </w:p>
    <w:p w:rsidR="005E1247" w:rsidRPr="0022106E" w:rsidRDefault="005E1247" w:rsidP="00B546EA">
      <w:pPr>
        <w:spacing w:line="360" w:lineRule="auto"/>
        <w:rPr>
          <w:b/>
          <w:szCs w:val="21"/>
        </w:rPr>
      </w:pPr>
      <w:r w:rsidRPr="0022106E">
        <w:rPr>
          <w:rFonts w:hint="eastAsia"/>
          <w:b/>
          <w:szCs w:val="21"/>
        </w:rPr>
        <w:t>（二）复试</w:t>
      </w:r>
    </w:p>
    <w:p w:rsidR="005E1247" w:rsidRPr="0022106E" w:rsidRDefault="005E1247" w:rsidP="005E1247">
      <w:pPr>
        <w:spacing w:line="360" w:lineRule="auto"/>
        <w:ind w:firstLineChars="202" w:firstLine="426"/>
        <w:rPr>
          <w:b/>
          <w:szCs w:val="21"/>
        </w:rPr>
      </w:pPr>
      <w:r w:rsidRPr="0022106E">
        <w:rPr>
          <w:rFonts w:hint="eastAsia"/>
          <w:b/>
          <w:szCs w:val="21"/>
        </w:rPr>
        <w:t xml:space="preserve">1. </w:t>
      </w:r>
      <w:r w:rsidRPr="0022106E">
        <w:rPr>
          <w:rFonts w:hint="eastAsia"/>
          <w:b/>
          <w:szCs w:val="21"/>
        </w:rPr>
        <w:t>复试资格</w:t>
      </w:r>
    </w:p>
    <w:p w:rsidR="005E1247" w:rsidRPr="00055354" w:rsidRDefault="005E1247" w:rsidP="005E1247">
      <w:pPr>
        <w:spacing w:line="360" w:lineRule="auto"/>
        <w:ind w:firstLineChars="202" w:firstLine="424"/>
        <w:rPr>
          <w:szCs w:val="21"/>
        </w:rPr>
      </w:pPr>
      <w:r w:rsidRPr="00055354">
        <w:rPr>
          <w:rFonts w:hint="eastAsia"/>
          <w:szCs w:val="21"/>
        </w:rPr>
        <w:t>（</w:t>
      </w:r>
      <w:r w:rsidRPr="00055354">
        <w:rPr>
          <w:rFonts w:hint="eastAsia"/>
          <w:szCs w:val="21"/>
        </w:rPr>
        <w:t>1</w:t>
      </w:r>
      <w:r w:rsidRPr="00055354">
        <w:rPr>
          <w:rFonts w:hint="eastAsia"/>
          <w:szCs w:val="21"/>
        </w:rPr>
        <w:t>）初试成绩达到学校确定的进入复试分数线的全国统考生和单独考试生。</w:t>
      </w:r>
    </w:p>
    <w:p w:rsidR="005E1247" w:rsidRPr="00055354" w:rsidRDefault="005E1247" w:rsidP="005E1247">
      <w:pPr>
        <w:spacing w:line="360" w:lineRule="auto"/>
        <w:ind w:firstLineChars="202" w:firstLine="424"/>
        <w:rPr>
          <w:szCs w:val="21"/>
        </w:rPr>
      </w:pPr>
      <w:r w:rsidRPr="00055354">
        <w:rPr>
          <w:rFonts w:hint="eastAsia"/>
          <w:szCs w:val="21"/>
        </w:rPr>
        <w:t>（</w:t>
      </w:r>
      <w:r w:rsidRPr="00055354">
        <w:rPr>
          <w:rFonts w:hint="eastAsia"/>
          <w:szCs w:val="21"/>
        </w:rPr>
        <w:t>2</w:t>
      </w:r>
      <w:r w:rsidRPr="00055354">
        <w:rPr>
          <w:rFonts w:hint="eastAsia"/>
          <w:szCs w:val="21"/>
        </w:rPr>
        <w:t>）符合我校接收推荐免试硕士生条件的推荐免试生</w:t>
      </w:r>
    </w:p>
    <w:p w:rsidR="005E1247" w:rsidRPr="0022106E" w:rsidRDefault="005E1247" w:rsidP="005E1247">
      <w:pPr>
        <w:spacing w:line="360" w:lineRule="auto"/>
        <w:ind w:firstLineChars="202" w:firstLine="426"/>
        <w:rPr>
          <w:b/>
          <w:szCs w:val="21"/>
        </w:rPr>
      </w:pPr>
      <w:r w:rsidRPr="0022106E">
        <w:rPr>
          <w:rFonts w:hint="eastAsia"/>
          <w:b/>
          <w:szCs w:val="21"/>
        </w:rPr>
        <w:t xml:space="preserve">2. </w:t>
      </w:r>
      <w:r w:rsidRPr="0022106E">
        <w:rPr>
          <w:rFonts w:hint="eastAsia"/>
          <w:b/>
          <w:szCs w:val="21"/>
        </w:rPr>
        <w:t>复试时间</w:t>
      </w:r>
    </w:p>
    <w:p w:rsidR="005E1247" w:rsidRPr="00055354" w:rsidRDefault="005E1247" w:rsidP="005E1247">
      <w:pPr>
        <w:spacing w:line="360" w:lineRule="auto"/>
        <w:ind w:firstLineChars="202" w:firstLine="424"/>
        <w:rPr>
          <w:szCs w:val="21"/>
        </w:rPr>
      </w:pPr>
      <w:r w:rsidRPr="00055354">
        <w:rPr>
          <w:rFonts w:hint="eastAsia"/>
          <w:szCs w:val="21"/>
        </w:rPr>
        <w:t>全国统考生和单独考试生通常在</w:t>
      </w:r>
      <w:r w:rsidRPr="00055354">
        <w:rPr>
          <w:rFonts w:hint="eastAsia"/>
          <w:szCs w:val="21"/>
        </w:rPr>
        <w:t>3-4</w:t>
      </w:r>
      <w:r w:rsidRPr="00055354">
        <w:rPr>
          <w:rFonts w:hint="eastAsia"/>
          <w:szCs w:val="21"/>
        </w:rPr>
        <w:t>月份进行，推免生通常在</w:t>
      </w:r>
      <w:r w:rsidRPr="00055354">
        <w:rPr>
          <w:rFonts w:hint="eastAsia"/>
          <w:szCs w:val="21"/>
        </w:rPr>
        <w:t>9-10</w:t>
      </w:r>
      <w:r w:rsidRPr="00055354">
        <w:rPr>
          <w:rFonts w:hint="eastAsia"/>
          <w:szCs w:val="21"/>
        </w:rPr>
        <w:t>月，以国家统一安排时间为准。</w:t>
      </w:r>
    </w:p>
    <w:p w:rsidR="005E1247" w:rsidRPr="0022106E" w:rsidRDefault="005E1247" w:rsidP="005E1247">
      <w:pPr>
        <w:spacing w:line="360" w:lineRule="auto"/>
        <w:ind w:firstLineChars="202" w:firstLine="426"/>
        <w:rPr>
          <w:b/>
          <w:szCs w:val="21"/>
        </w:rPr>
      </w:pPr>
      <w:r w:rsidRPr="0022106E">
        <w:rPr>
          <w:rFonts w:hint="eastAsia"/>
          <w:b/>
          <w:szCs w:val="21"/>
        </w:rPr>
        <w:t xml:space="preserve">3. </w:t>
      </w:r>
      <w:r w:rsidRPr="0022106E">
        <w:rPr>
          <w:rFonts w:hint="eastAsia"/>
          <w:b/>
          <w:szCs w:val="21"/>
        </w:rPr>
        <w:t>填报导师</w:t>
      </w:r>
    </w:p>
    <w:p w:rsidR="005E1247" w:rsidRPr="00055354" w:rsidRDefault="005E1247" w:rsidP="005E1247">
      <w:pPr>
        <w:spacing w:line="360" w:lineRule="auto"/>
        <w:ind w:firstLineChars="202" w:firstLine="424"/>
        <w:rPr>
          <w:szCs w:val="21"/>
        </w:rPr>
      </w:pPr>
      <w:r w:rsidRPr="00055354">
        <w:rPr>
          <w:rFonts w:hint="eastAsia"/>
          <w:szCs w:val="21"/>
        </w:rPr>
        <w:t>具备复试资格的考生在复试前规定时间内选填所报考专业（或调剂专业）的意向导师。</w:t>
      </w:r>
    </w:p>
    <w:p w:rsidR="005E1247" w:rsidRPr="0022106E" w:rsidRDefault="005E1247" w:rsidP="005E1247">
      <w:pPr>
        <w:spacing w:line="360" w:lineRule="auto"/>
        <w:ind w:firstLineChars="202" w:firstLine="426"/>
        <w:rPr>
          <w:b/>
          <w:szCs w:val="21"/>
        </w:rPr>
      </w:pPr>
      <w:r w:rsidRPr="0022106E">
        <w:rPr>
          <w:rFonts w:hint="eastAsia"/>
          <w:b/>
          <w:szCs w:val="21"/>
        </w:rPr>
        <w:t xml:space="preserve">4. </w:t>
      </w:r>
      <w:r w:rsidRPr="0022106E">
        <w:rPr>
          <w:rFonts w:hint="eastAsia"/>
          <w:b/>
          <w:szCs w:val="21"/>
        </w:rPr>
        <w:t>复试环节和内容</w:t>
      </w:r>
    </w:p>
    <w:p w:rsidR="005E1247" w:rsidRPr="00055354" w:rsidRDefault="005E1247" w:rsidP="005E1247">
      <w:pPr>
        <w:spacing w:line="360" w:lineRule="auto"/>
        <w:ind w:firstLineChars="202" w:firstLine="424"/>
        <w:rPr>
          <w:szCs w:val="21"/>
        </w:rPr>
      </w:pPr>
      <w:r w:rsidRPr="00055354">
        <w:rPr>
          <w:rFonts w:hint="eastAsia"/>
          <w:szCs w:val="21"/>
        </w:rPr>
        <w:t>复试包含笔试与面试两个环节。</w:t>
      </w:r>
    </w:p>
    <w:p w:rsidR="005E1247" w:rsidRPr="00055354" w:rsidRDefault="005E1247" w:rsidP="005E1247">
      <w:pPr>
        <w:spacing w:line="360" w:lineRule="auto"/>
        <w:ind w:firstLineChars="202" w:firstLine="424"/>
        <w:rPr>
          <w:szCs w:val="21"/>
        </w:rPr>
      </w:pPr>
      <w:r w:rsidRPr="00055354">
        <w:rPr>
          <w:rFonts w:hint="eastAsia"/>
          <w:szCs w:val="21"/>
        </w:rPr>
        <w:t>（</w:t>
      </w:r>
      <w:r w:rsidRPr="00055354">
        <w:rPr>
          <w:rFonts w:hint="eastAsia"/>
          <w:szCs w:val="21"/>
        </w:rPr>
        <w:t>1</w:t>
      </w:r>
      <w:r w:rsidRPr="00055354">
        <w:rPr>
          <w:rFonts w:hint="eastAsia"/>
          <w:szCs w:val="21"/>
        </w:rPr>
        <w:t>）笔试包括英语听力、专业英语和专业综合知识测试，笔试由研究生院组织。同等学力考生还须加试</w:t>
      </w:r>
      <w:r w:rsidRPr="00055354">
        <w:rPr>
          <w:rFonts w:hint="eastAsia"/>
          <w:szCs w:val="21"/>
        </w:rPr>
        <w:t>2</w:t>
      </w:r>
      <w:r w:rsidRPr="00055354">
        <w:rPr>
          <w:rFonts w:hint="eastAsia"/>
          <w:szCs w:val="21"/>
        </w:rPr>
        <w:t>～</w:t>
      </w:r>
      <w:r w:rsidRPr="00055354">
        <w:rPr>
          <w:rFonts w:hint="eastAsia"/>
          <w:szCs w:val="21"/>
        </w:rPr>
        <w:t>3</w:t>
      </w:r>
      <w:r w:rsidRPr="00055354">
        <w:rPr>
          <w:rFonts w:hint="eastAsia"/>
          <w:szCs w:val="21"/>
        </w:rPr>
        <w:t>门专业基础课程，加试由各培养单位自行组织。</w:t>
      </w:r>
    </w:p>
    <w:p w:rsidR="005E1247" w:rsidRPr="00055354" w:rsidRDefault="005E1247" w:rsidP="005E1247">
      <w:pPr>
        <w:spacing w:line="360" w:lineRule="auto"/>
        <w:ind w:firstLineChars="202" w:firstLine="424"/>
        <w:rPr>
          <w:szCs w:val="21"/>
        </w:rPr>
      </w:pPr>
      <w:r w:rsidRPr="00055354">
        <w:rPr>
          <w:rFonts w:hint="eastAsia"/>
          <w:szCs w:val="21"/>
        </w:rPr>
        <w:lastRenderedPageBreak/>
        <w:t>（</w:t>
      </w:r>
      <w:r w:rsidRPr="00055354">
        <w:rPr>
          <w:rFonts w:hint="eastAsia"/>
          <w:szCs w:val="21"/>
        </w:rPr>
        <w:t>2</w:t>
      </w:r>
      <w:r w:rsidRPr="00055354">
        <w:rPr>
          <w:rFonts w:hint="eastAsia"/>
          <w:szCs w:val="21"/>
        </w:rPr>
        <w:t>）面试分为导师面试与学科面试。</w:t>
      </w:r>
    </w:p>
    <w:p w:rsidR="005E1247" w:rsidRPr="00055354" w:rsidRDefault="005E1247" w:rsidP="005E1247">
      <w:pPr>
        <w:spacing w:line="360" w:lineRule="auto"/>
        <w:ind w:firstLineChars="202" w:firstLine="424"/>
        <w:rPr>
          <w:szCs w:val="21"/>
        </w:rPr>
      </w:pPr>
      <w:r w:rsidRPr="00055354">
        <w:rPr>
          <w:rFonts w:hint="eastAsia"/>
          <w:szCs w:val="21"/>
        </w:rPr>
        <w:t>导师面试</w:t>
      </w:r>
      <w:r w:rsidRPr="00055354">
        <w:rPr>
          <w:rFonts w:hint="eastAsia"/>
          <w:szCs w:val="21"/>
        </w:rPr>
        <w:t xml:space="preserve">  </w:t>
      </w:r>
      <w:r w:rsidRPr="00055354">
        <w:rPr>
          <w:rFonts w:hint="eastAsia"/>
          <w:szCs w:val="21"/>
        </w:rPr>
        <w:t>导师应在学科面试前对报考自己的学生进行面试，并将面试意见及排序名单提交学科面试小组。导师不得在复试工作结束前给考生承诺录取。</w:t>
      </w:r>
    </w:p>
    <w:p w:rsidR="005E1247" w:rsidRPr="00055354" w:rsidRDefault="005E1247" w:rsidP="005E1247">
      <w:pPr>
        <w:spacing w:line="360" w:lineRule="auto"/>
        <w:ind w:firstLineChars="202" w:firstLine="424"/>
        <w:rPr>
          <w:szCs w:val="21"/>
        </w:rPr>
      </w:pPr>
      <w:r w:rsidRPr="00055354">
        <w:rPr>
          <w:rFonts w:hint="eastAsia"/>
          <w:szCs w:val="21"/>
        </w:rPr>
        <w:t>学科面试</w:t>
      </w:r>
      <w:r w:rsidRPr="00055354">
        <w:rPr>
          <w:rFonts w:hint="eastAsia"/>
          <w:szCs w:val="21"/>
        </w:rPr>
        <w:t xml:space="preserve">  </w:t>
      </w:r>
      <w:r w:rsidRPr="00055354">
        <w:rPr>
          <w:rFonts w:hint="eastAsia"/>
          <w:szCs w:val="21"/>
        </w:rPr>
        <w:t>学科面试小组一般不低于</w:t>
      </w:r>
      <w:r w:rsidRPr="00055354">
        <w:rPr>
          <w:rFonts w:hint="eastAsia"/>
          <w:szCs w:val="21"/>
        </w:rPr>
        <w:t>5</w:t>
      </w:r>
      <w:r w:rsidRPr="00055354">
        <w:rPr>
          <w:rFonts w:hint="eastAsia"/>
          <w:szCs w:val="21"/>
        </w:rPr>
        <w:t>人，导师原则上应是面试小组成员。每位考生面试时间一般不少于</w:t>
      </w:r>
      <w:r w:rsidRPr="00055354">
        <w:rPr>
          <w:rFonts w:hint="eastAsia"/>
          <w:szCs w:val="21"/>
        </w:rPr>
        <w:t>15</w:t>
      </w:r>
      <w:r w:rsidRPr="00055354">
        <w:rPr>
          <w:rFonts w:hint="eastAsia"/>
          <w:szCs w:val="21"/>
        </w:rPr>
        <w:t>分钟。面试内容包括：①口头表达能力；②与本学科专业相关的基础理论、基础知识和基本技能；③分析问题和解决问题的能力，创新精神和创新能力；④专业英语基础知识、英语口语能力；⑤心理素质；⑥条件许可的学科专业可单独组织进行实践（实验）能力考核。面试结束后，应及时公布面试成绩。</w:t>
      </w:r>
    </w:p>
    <w:p w:rsidR="005E1247" w:rsidRPr="0022106E" w:rsidRDefault="005E1247" w:rsidP="005E1247">
      <w:pPr>
        <w:spacing w:line="360" w:lineRule="auto"/>
        <w:ind w:firstLineChars="202" w:firstLine="426"/>
        <w:rPr>
          <w:b/>
          <w:szCs w:val="21"/>
        </w:rPr>
      </w:pPr>
      <w:r w:rsidRPr="0022106E">
        <w:rPr>
          <w:rFonts w:hint="eastAsia"/>
          <w:b/>
          <w:szCs w:val="21"/>
        </w:rPr>
        <w:t xml:space="preserve">5. </w:t>
      </w:r>
      <w:r w:rsidRPr="0022106E">
        <w:rPr>
          <w:rFonts w:hint="eastAsia"/>
          <w:b/>
          <w:szCs w:val="21"/>
        </w:rPr>
        <w:t>复试成绩</w:t>
      </w:r>
    </w:p>
    <w:p w:rsidR="005E1247" w:rsidRPr="00055354" w:rsidRDefault="005E1247" w:rsidP="005E1247">
      <w:pPr>
        <w:spacing w:line="360" w:lineRule="auto"/>
        <w:ind w:firstLineChars="202" w:firstLine="424"/>
        <w:rPr>
          <w:szCs w:val="21"/>
        </w:rPr>
      </w:pPr>
      <w:r w:rsidRPr="00055354">
        <w:rPr>
          <w:rFonts w:hint="eastAsia"/>
          <w:szCs w:val="21"/>
        </w:rPr>
        <w:t>复试成绩为复试各环节成绩的加权和。</w:t>
      </w:r>
    </w:p>
    <w:p w:rsidR="005E1247" w:rsidRPr="0022106E" w:rsidRDefault="005E1247" w:rsidP="00B546EA">
      <w:pPr>
        <w:spacing w:line="360" w:lineRule="auto"/>
        <w:rPr>
          <w:b/>
          <w:szCs w:val="21"/>
        </w:rPr>
      </w:pPr>
      <w:bookmarkStart w:id="0" w:name="_GoBack"/>
      <w:bookmarkEnd w:id="0"/>
      <w:r w:rsidRPr="0022106E">
        <w:rPr>
          <w:rFonts w:hint="eastAsia"/>
          <w:b/>
          <w:szCs w:val="21"/>
        </w:rPr>
        <w:t>（三）总成绩</w:t>
      </w:r>
    </w:p>
    <w:p w:rsidR="005E1247" w:rsidRPr="00055354" w:rsidRDefault="005E1247" w:rsidP="005E1247">
      <w:pPr>
        <w:spacing w:line="360" w:lineRule="auto"/>
        <w:ind w:firstLineChars="202" w:firstLine="424"/>
        <w:rPr>
          <w:szCs w:val="21"/>
        </w:rPr>
      </w:pPr>
      <w:r w:rsidRPr="00055354">
        <w:rPr>
          <w:rFonts w:hint="eastAsia"/>
          <w:szCs w:val="21"/>
        </w:rPr>
        <w:t xml:space="preserve">1. </w:t>
      </w:r>
      <w:r w:rsidRPr="00055354">
        <w:rPr>
          <w:rFonts w:hint="eastAsia"/>
          <w:szCs w:val="21"/>
        </w:rPr>
        <w:t>全国统考和单独考试生的总成绩为统考初试成绩与复试成绩的加权和。</w:t>
      </w:r>
    </w:p>
    <w:p w:rsidR="005E1247" w:rsidRDefault="005E1247" w:rsidP="005E1247">
      <w:pPr>
        <w:spacing w:line="360" w:lineRule="auto"/>
        <w:ind w:firstLineChars="202" w:firstLine="424"/>
        <w:rPr>
          <w:szCs w:val="21"/>
        </w:rPr>
      </w:pPr>
      <w:r w:rsidRPr="00055354">
        <w:rPr>
          <w:rFonts w:hint="eastAsia"/>
          <w:szCs w:val="21"/>
        </w:rPr>
        <w:t xml:space="preserve">2. </w:t>
      </w:r>
      <w:r w:rsidRPr="00055354">
        <w:rPr>
          <w:rFonts w:hint="eastAsia"/>
          <w:szCs w:val="21"/>
        </w:rPr>
        <w:t>推荐免试生的总成绩为本科必修课程平均成绩与复试成绩的加权和。</w:t>
      </w:r>
    </w:p>
    <w:p w:rsidR="005E1247" w:rsidRPr="0022106E" w:rsidRDefault="005E1247" w:rsidP="005E1247">
      <w:pPr>
        <w:spacing w:line="360" w:lineRule="auto"/>
        <w:ind w:firstLineChars="202" w:firstLine="426"/>
        <w:rPr>
          <w:b/>
          <w:szCs w:val="21"/>
        </w:rPr>
      </w:pPr>
      <w:r w:rsidRPr="0022106E">
        <w:rPr>
          <w:rFonts w:hint="eastAsia"/>
          <w:b/>
          <w:szCs w:val="21"/>
        </w:rPr>
        <w:t>录取</w:t>
      </w:r>
    </w:p>
    <w:p w:rsidR="005E1247" w:rsidRPr="00055354" w:rsidRDefault="005E1247" w:rsidP="005E1247">
      <w:pPr>
        <w:spacing w:line="360" w:lineRule="auto"/>
        <w:ind w:firstLineChars="202" w:firstLine="424"/>
        <w:rPr>
          <w:szCs w:val="21"/>
        </w:rPr>
      </w:pPr>
      <w:r w:rsidRPr="00055354">
        <w:rPr>
          <w:rFonts w:hint="eastAsia"/>
          <w:szCs w:val="21"/>
        </w:rPr>
        <w:t xml:space="preserve">1. </w:t>
      </w:r>
      <w:r w:rsidRPr="00055354">
        <w:rPr>
          <w:rFonts w:hint="eastAsia"/>
          <w:szCs w:val="21"/>
        </w:rPr>
        <w:t>总成绩和复试成绩均达</w:t>
      </w:r>
      <w:r w:rsidRPr="00055354">
        <w:rPr>
          <w:rFonts w:hint="eastAsia"/>
          <w:szCs w:val="21"/>
        </w:rPr>
        <w:t>60</w:t>
      </w:r>
      <w:r w:rsidRPr="00055354">
        <w:rPr>
          <w:rFonts w:hint="eastAsia"/>
          <w:szCs w:val="21"/>
        </w:rPr>
        <w:t>分及以上者视为合格。</w:t>
      </w:r>
    </w:p>
    <w:p w:rsidR="005E1247" w:rsidRPr="00055354" w:rsidRDefault="005E1247" w:rsidP="005E1247">
      <w:pPr>
        <w:spacing w:line="360" w:lineRule="auto"/>
        <w:ind w:firstLineChars="202" w:firstLine="424"/>
        <w:rPr>
          <w:szCs w:val="21"/>
        </w:rPr>
      </w:pPr>
      <w:r w:rsidRPr="00055354">
        <w:rPr>
          <w:rFonts w:hint="eastAsia"/>
          <w:szCs w:val="21"/>
        </w:rPr>
        <w:t xml:space="preserve">2. </w:t>
      </w:r>
      <w:r w:rsidRPr="00055354">
        <w:rPr>
          <w:rFonts w:hint="eastAsia"/>
          <w:szCs w:val="21"/>
        </w:rPr>
        <w:t>遵循“按需招生、德智体全面衡量、择优录取、宁缺毋滥”原则，分学科（专业学位类别或领域）按总成绩从高分到低分确定拟录取名单，学校审批。</w:t>
      </w:r>
    </w:p>
    <w:p w:rsidR="005E1247" w:rsidRPr="00055354" w:rsidRDefault="005E1247" w:rsidP="005E1247">
      <w:pPr>
        <w:spacing w:line="360" w:lineRule="auto"/>
        <w:ind w:firstLineChars="202" w:firstLine="424"/>
        <w:rPr>
          <w:szCs w:val="21"/>
        </w:rPr>
      </w:pPr>
      <w:r w:rsidRPr="00055354">
        <w:rPr>
          <w:rFonts w:hint="eastAsia"/>
          <w:szCs w:val="21"/>
        </w:rPr>
        <w:t xml:space="preserve">3. </w:t>
      </w:r>
      <w:r w:rsidRPr="00055354">
        <w:rPr>
          <w:rFonts w:hint="eastAsia"/>
          <w:szCs w:val="21"/>
        </w:rPr>
        <w:t>导师有权在拟录取名单中择优确定录取学生，拟录取学生数超出学校规定的，进行导师间调剂。</w:t>
      </w:r>
    </w:p>
    <w:p w:rsidR="005E1247" w:rsidRPr="00055354" w:rsidRDefault="005E1247" w:rsidP="005E1247">
      <w:pPr>
        <w:spacing w:line="360" w:lineRule="auto"/>
        <w:ind w:firstLineChars="202" w:firstLine="424"/>
        <w:rPr>
          <w:szCs w:val="21"/>
        </w:rPr>
      </w:pPr>
      <w:r w:rsidRPr="00055354">
        <w:rPr>
          <w:rFonts w:hint="eastAsia"/>
          <w:szCs w:val="21"/>
        </w:rPr>
        <w:t xml:space="preserve">4. </w:t>
      </w:r>
      <w:r w:rsidRPr="00055354">
        <w:rPr>
          <w:rFonts w:hint="eastAsia"/>
          <w:szCs w:val="21"/>
        </w:rPr>
        <w:t>有下列情况之一者，不予录取。</w:t>
      </w:r>
    </w:p>
    <w:p w:rsidR="005E1247" w:rsidRPr="00055354" w:rsidRDefault="005E1247" w:rsidP="005E1247">
      <w:pPr>
        <w:spacing w:line="360" w:lineRule="auto"/>
        <w:ind w:firstLineChars="202" w:firstLine="424"/>
        <w:rPr>
          <w:szCs w:val="21"/>
        </w:rPr>
      </w:pPr>
      <w:r w:rsidRPr="00055354">
        <w:rPr>
          <w:rFonts w:hint="eastAsia"/>
          <w:szCs w:val="21"/>
        </w:rPr>
        <w:fldChar w:fldCharType="begin"/>
      </w:r>
      <w:r w:rsidRPr="00055354">
        <w:rPr>
          <w:rFonts w:hint="eastAsia"/>
          <w:szCs w:val="21"/>
        </w:rPr>
        <w:instrText>= 1 \* GB3</w:instrText>
      </w:r>
      <w:r w:rsidRPr="00055354">
        <w:rPr>
          <w:rFonts w:hint="eastAsia"/>
          <w:szCs w:val="21"/>
        </w:rPr>
        <w:fldChar w:fldCharType="separate"/>
      </w:r>
      <w:r w:rsidRPr="00055354">
        <w:rPr>
          <w:rFonts w:hint="eastAsia"/>
          <w:szCs w:val="21"/>
        </w:rPr>
        <w:t>①</w:t>
      </w:r>
      <w:r w:rsidRPr="00055354">
        <w:rPr>
          <w:rFonts w:hint="eastAsia"/>
          <w:szCs w:val="21"/>
        </w:rPr>
        <w:fldChar w:fldCharType="end"/>
      </w:r>
      <w:r w:rsidRPr="00055354">
        <w:rPr>
          <w:rFonts w:hint="eastAsia"/>
          <w:szCs w:val="21"/>
        </w:rPr>
        <w:t xml:space="preserve"> </w:t>
      </w:r>
      <w:r w:rsidRPr="00055354">
        <w:rPr>
          <w:rFonts w:hint="eastAsia"/>
          <w:szCs w:val="21"/>
        </w:rPr>
        <w:t>成绩不合格（总成绩或复试成绩低于</w:t>
      </w:r>
      <w:r w:rsidRPr="00055354">
        <w:rPr>
          <w:rFonts w:hint="eastAsia"/>
          <w:szCs w:val="21"/>
        </w:rPr>
        <w:t>60</w:t>
      </w:r>
      <w:r w:rsidRPr="00055354">
        <w:rPr>
          <w:rFonts w:hint="eastAsia"/>
          <w:szCs w:val="21"/>
        </w:rPr>
        <w:t>分）；</w:t>
      </w:r>
    </w:p>
    <w:p w:rsidR="005E1247" w:rsidRPr="00055354" w:rsidRDefault="005E1247" w:rsidP="005E1247">
      <w:pPr>
        <w:spacing w:line="360" w:lineRule="auto"/>
        <w:ind w:firstLineChars="202" w:firstLine="424"/>
        <w:rPr>
          <w:szCs w:val="21"/>
        </w:rPr>
      </w:pPr>
      <w:r w:rsidRPr="00055354">
        <w:rPr>
          <w:rFonts w:hint="eastAsia"/>
          <w:szCs w:val="21"/>
        </w:rPr>
        <w:fldChar w:fldCharType="begin"/>
      </w:r>
      <w:r w:rsidRPr="00055354">
        <w:rPr>
          <w:rFonts w:hint="eastAsia"/>
          <w:szCs w:val="21"/>
        </w:rPr>
        <w:instrText>= 2 \* GB3</w:instrText>
      </w:r>
      <w:r w:rsidRPr="00055354">
        <w:rPr>
          <w:rFonts w:hint="eastAsia"/>
          <w:szCs w:val="21"/>
        </w:rPr>
        <w:fldChar w:fldCharType="separate"/>
      </w:r>
      <w:r w:rsidRPr="00055354">
        <w:rPr>
          <w:rFonts w:hint="eastAsia"/>
          <w:szCs w:val="21"/>
        </w:rPr>
        <w:t>②</w:t>
      </w:r>
      <w:r w:rsidRPr="00055354">
        <w:rPr>
          <w:rFonts w:hint="eastAsia"/>
          <w:szCs w:val="21"/>
        </w:rPr>
        <w:fldChar w:fldCharType="end"/>
      </w:r>
      <w:r w:rsidRPr="00055354">
        <w:rPr>
          <w:rFonts w:hint="eastAsia"/>
          <w:szCs w:val="21"/>
        </w:rPr>
        <w:t xml:space="preserve"> </w:t>
      </w:r>
      <w:r w:rsidRPr="00055354">
        <w:rPr>
          <w:rFonts w:hint="eastAsia"/>
          <w:szCs w:val="21"/>
        </w:rPr>
        <w:t>思想品德考核不合格；</w:t>
      </w:r>
    </w:p>
    <w:p w:rsidR="005E1247" w:rsidRPr="00055354" w:rsidRDefault="005E1247" w:rsidP="005E1247">
      <w:pPr>
        <w:spacing w:line="360" w:lineRule="auto"/>
        <w:ind w:firstLineChars="202" w:firstLine="424"/>
        <w:rPr>
          <w:szCs w:val="21"/>
        </w:rPr>
      </w:pPr>
      <w:r w:rsidRPr="00055354">
        <w:rPr>
          <w:rFonts w:hint="eastAsia"/>
          <w:szCs w:val="21"/>
        </w:rPr>
        <w:fldChar w:fldCharType="begin"/>
      </w:r>
      <w:r w:rsidRPr="00055354">
        <w:rPr>
          <w:rFonts w:hint="eastAsia"/>
          <w:szCs w:val="21"/>
        </w:rPr>
        <w:instrText>= 3 \* GB3</w:instrText>
      </w:r>
      <w:r w:rsidRPr="00055354">
        <w:rPr>
          <w:rFonts w:hint="eastAsia"/>
          <w:szCs w:val="21"/>
        </w:rPr>
        <w:fldChar w:fldCharType="separate"/>
      </w:r>
      <w:r w:rsidRPr="00055354">
        <w:rPr>
          <w:rFonts w:hint="eastAsia"/>
          <w:szCs w:val="21"/>
        </w:rPr>
        <w:t>③</w:t>
      </w:r>
      <w:r w:rsidRPr="00055354">
        <w:rPr>
          <w:rFonts w:hint="eastAsia"/>
          <w:szCs w:val="21"/>
        </w:rPr>
        <w:fldChar w:fldCharType="end"/>
      </w:r>
      <w:r w:rsidRPr="00055354">
        <w:rPr>
          <w:rFonts w:hint="eastAsia"/>
          <w:szCs w:val="21"/>
        </w:rPr>
        <w:t xml:space="preserve"> </w:t>
      </w:r>
      <w:r w:rsidRPr="00055354">
        <w:rPr>
          <w:rFonts w:hint="eastAsia"/>
          <w:szCs w:val="21"/>
        </w:rPr>
        <w:t>体检不合格；</w:t>
      </w:r>
    </w:p>
    <w:p w:rsidR="005E1247" w:rsidRDefault="005E1247" w:rsidP="005E1247">
      <w:pPr>
        <w:spacing w:line="360" w:lineRule="auto"/>
        <w:ind w:firstLineChars="202" w:firstLine="424"/>
        <w:rPr>
          <w:szCs w:val="21"/>
        </w:rPr>
      </w:pPr>
      <w:r w:rsidRPr="00055354">
        <w:rPr>
          <w:rFonts w:hint="eastAsia"/>
          <w:szCs w:val="21"/>
        </w:rPr>
        <w:fldChar w:fldCharType="begin"/>
      </w:r>
      <w:r w:rsidRPr="00055354">
        <w:rPr>
          <w:rFonts w:hint="eastAsia"/>
          <w:szCs w:val="21"/>
        </w:rPr>
        <w:instrText>= 4 \* GB3</w:instrText>
      </w:r>
      <w:r w:rsidRPr="00055354">
        <w:rPr>
          <w:rFonts w:hint="eastAsia"/>
          <w:szCs w:val="21"/>
        </w:rPr>
        <w:fldChar w:fldCharType="separate"/>
      </w:r>
      <w:r w:rsidRPr="00055354">
        <w:rPr>
          <w:rFonts w:hint="eastAsia"/>
          <w:szCs w:val="21"/>
        </w:rPr>
        <w:t>④</w:t>
      </w:r>
      <w:r w:rsidRPr="00055354">
        <w:rPr>
          <w:rFonts w:hint="eastAsia"/>
          <w:szCs w:val="21"/>
        </w:rPr>
        <w:fldChar w:fldCharType="end"/>
      </w:r>
      <w:r w:rsidRPr="00055354">
        <w:rPr>
          <w:rFonts w:hint="eastAsia"/>
          <w:szCs w:val="21"/>
        </w:rPr>
        <w:t xml:space="preserve"> </w:t>
      </w:r>
      <w:r w:rsidRPr="00055354">
        <w:rPr>
          <w:rFonts w:hint="eastAsia"/>
          <w:szCs w:val="21"/>
        </w:rPr>
        <w:t>弄虚作假，不诚信。</w:t>
      </w:r>
    </w:p>
    <w:p w:rsidR="00A00F78" w:rsidRDefault="00A00F78" w:rsidP="005E1247">
      <w:pPr>
        <w:spacing w:line="360" w:lineRule="auto"/>
        <w:ind w:firstLineChars="202" w:firstLine="424"/>
        <w:rPr>
          <w:szCs w:val="21"/>
        </w:rPr>
      </w:pPr>
      <w:r>
        <w:rPr>
          <w:szCs w:val="21"/>
        </w:rPr>
        <w:t>5</w:t>
      </w:r>
      <w:r>
        <w:rPr>
          <w:rFonts w:hint="eastAsia"/>
          <w:szCs w:val="21"/>
        </w:rPr>
        <w:t>、被我校录取为非全日制研究生的考生，不享受奖、助学金，不能申请住宿，其档案、户口和人事关系等不转入我校。</w:t>
      </w:r>
    </w:p>
    <w:p w:rsidR="00B546EA" w:rsidRPr="00B546EA" w:rsidRDefault="00B546EA" w:rsidP="005E1247">
      <w:pPr>
        <w:spacing w:line="360" w:lineRule="auto"/>
        <w:ind w:firstLineChars="202" w:firstLine="426"/>
        <w:rPr>
          <w:rFonts w:hint="eastAsia"/>
          <w:b/>
          <w:szCs w:val="21"/>
        </w:rPr>
      </w:pPr>
      <w:r w:rsidRPr="00B546EA">
        <w:rPr>
          <w:b/>
          <w:szCs w:val="21"/>
        </w:rPr>
        <w:t>硕士研究生专业目录查询：</w:t>
      </w:r>
      <w:r w:rsidRPr="00B546EA">
        <w:rPr>
          <w:b/>
          <w:szCs w:val="21"/>
        </w:rPr>
        <w:t>http://yz.sicau.edu.cn/zyml/zymls.aspx</w:t>
      </w:r>
    </w:p>
    <w:p w:rsidR="005E1247" w:rsidRPr="00AB4A74" w:rsidRDefault="00190BFF" w:rsidP="005E1247">
      <w:pPr>
        <w:spacing w:line="360" w:lineRule="auto"/>
        <w:outlineLvl w:val="0"/>
        <w:rPr>
          <w:b/>
          <w:szCs w:val="21"/>
        </w:rPr>
      </w:pPr>
      <w:r>
        <w:rPr>
          <w:rFonts w:hint="eastAsia"/>
          <w:b/>
          <w:szCs w:val="21"/>
        </w:rPr>
        <w:t>五</w:t>
      </w:r>
      <w:r w:rsidR="005E1247" w:rsidRPr="00AB4A74">
        <w:rPr>
          <w:rFonts w:hint="eastAsia"/>
          <w:b/>
          <w:szCs w:val="21"/>
        </w:rPr>
        <w:t>、研究生</w:t>
      </w:r>
      <w:r w:rsidR="005E1247" w:rsidRPr="00AB4A74">
        <w:rPr>
          <w:b/>
          <w:szCs w:val="21"/>
        </w:rPr>
        <w:t>学制学费及奖助学金标准</w:t>
      </w:r>
    </w:p>
    <w:p w:rsidR="005E1247" w:rsidRPr="00794CC1" w:rsidRDefault="005E1247" w:rsidP="005E1247">
      <w:pPr>
        <w:spacing w:line="360" w:lineRule="auto"/>
      </w:pPr>
      <w:r w:rsidRPr="00794CC1">
        <w:rPr>
          <w:rFonts w:hint="eastAsia"/>
        </w:rPr>
        <w:t>1</w:t>
      </w:r>
      <w:r w:rsidRPr="00794CC1">
        <w:rPr>
          <w:rFonts w:hint="eastAsia"/>
        </w:rPr>
        <w:t>、</w:t>
      </w:r>
      <w:r w:rsidRPr="00794CC1">
        <w:t>学制：</w:t>
      </w:r>
      <w:r>
        <w:t>全日制与非全日制</w:t>
      </w:r>
      <w:r w:rsidRPr="00794CC1">
        <w:t>硕士</w:t>
      </w:r>
      <w:r>
        <w:t>研究生学制均为</w:t>
      </w:r>
      <w:r w:rsidRPr="00794CC1">
        <w:rPr>
          <w:rFonts w:hint="eastAsia"/>
        </w:rPr>
        <w:t>3</w:t>
      </w:r>
      <w:r w:rsidRPr="00794CC1">
        <w:rPr>
          <w:rFonts w:hint="eastAsia"/>
        </w:rPr>
        <w:t>年。</w:t>
      </w:r>
    </w:p>
    <w:p w:rsidR="00A00F78" w:rsidRPr="00794CC1" w:rsidRDefault="005E1247" w:rsidP="00A00F78">
      <w:pPr>
        <w:spacing w:line="360" w:lineRule="auto"/>
        <w:ind w:firstLineChars="202" w:firstLine="424"/>
      </w:pPr>
      <w:r>
        <w:t>全日制与非全日制</w:t>
      </w:r>
      <w:r w:rsidRPr="00794CC1">
        <w:t>硕士</w:t>
      </w:r>
      <w:r>
        <w:t>研究生</w:t>
      </w:r>
      <w:r w:rsidRPr="00794CC1">
        <w:t>学费：经济</w:t>
      </w:r>
      <w:r>
        <w:t>学</w:t>
      </w:r>
      <w:r w:rsidRPr="00794CC1">
        <w:t>、法学和管理</w:t>
      </w:r>
      <w:r>
        <w:t>学门</w:t>
      </w:r>
      <w:r w:rsidRPr="00794CC1">
        <w:t>类</w:t>
      </w:r>
      <w:r>
        <w:t>专业</w:t>
      </w:r>
      <w:r w:rsidRPr="00794CC1">
        <w:rPr>
          <w:rFonts w:hint="eastAsia"/>
        </w:rPr>
        <w:t>7200</w:t>
      </w:r>
      <w:r w:rsidRPr="00794CC1">
        <w:rPr>
          <w:rFonts w:hint="eastAsia"/>
        </w:rPr>
        <w:t>元</w:t>
      </w:r>
      <w:r w:rsidRPr="00794CC1">
        <w:rPr>
          <w:rFonts w:hint="eastAsia"/>
        </w:rPr>
        <w:t>/</w:t>
      </w:r>
      <w:r w:rsidRPr="00794CC1">
        <w:rPr>
          <w:rFonts w:hint="eastAsia"/>
        </w:rPr>
        <w:t>生</w:t>
      </w:r>
      <w:r w:rsidRPr="00794CC1">
        <w:t>·</w:t>
      </w:r>
      <w:r w:rsidRPr="00794CC1">
        <w:t>年（公共管理硕士</w:t>
      </w:r>
      <w:r w:rsidRPr="00794CC1">
        <w:rPr>
          <w:rFonts w:hint="eastAsia"/>
        </w:rPr>
        <w:t>29000</w:t>
      </w:r>
      <w:r w:rsidRPr="00794CC1">
        <w:rPr>
          <w:rFonts w:hint="eastAsia"/>
        </w:rPr>
        <w:t>元</w:t>
      </w:r>
      <w:r w:rsidRPr="00794CC1">
        <w:rPr>
          <w:rFonts w:hint="eastAsia"/>
        </w:rPr>
        <w:t>/</w:t>
      </w:r>
      <w:r w:rsidRPr="00794CC1">
        <w:rPr>
          <w:rFonts w:hint="eastAsia"/>
        </w:rPr>
        <w:t>届</w:t>
      </w:r>
      <w:r w:rsidRPr="00794CC1">
        <w:t>），其他</w:t>
      </w:r>
      <w:r w:rsidRPr="00794CC1">
        <w:rPr>
          <w:rFonts w:hint="eastAsia"/>
        </w:rPr>
        <w:t>8000</w:t>
      </w:r>
      <w:r w:rsidRPr="00794CC1">
        <w:rPr>
          <w:rFonts w:hint="eastAsia"/>
        </w:rPr>
        <w:t>元</w:t>
      </w:r>
      <w:r w:rsidRPr="00794CC1">
        <w:rPr>
          <w:rFonts w:hint="eastAsia"/>
        </w:rPr>
        <w:t>/</w:t>
      </w:r>
      <w:r w:rsidRPr="00794CC1">
        <w:rPr>
          <w:rFonts w:hint="eastAsia"/>
        </w:rPr>
        <w:t>生</w:t>
      </w:r>
      <w:r w:rsidRPr="00794CC1">
        <w:t>·</w:t>
      </w:r>
      <w:r w:rsidRPr="00794CC1">
        <w:t>年。</w:t>
      </w:r>
    </w:p>
    <w:p w:rsidR="005E1247" w:rsidRPr="00794CC1" w:rsidRDefault="005E1247" w:rsidP="005E1247">
      <w:pPr>
        <w:spacing w:line="360" w:lineRule="auto"/>
      </w:pPr>
      <w:r w:rsidRPr="00794CC1">
        <w:rPr>
          <w:rFonts w:hint="eastAsia"/>
        </w:rPr>
        <w:t>2</w:t>
      </w:r>
      <w:r w:rsidRPr="00794CC1">
        <w:rPr>
          <w:rFonts w:hint="eastAsia"/>
        </w:rPr>
        <w:t>、</w:t>
      </w:r>
      <w:r>
        <w:rPr>
          <w:rFonts w:hint="eastAsia"/>
        </w:rPr>
        <w:t>全日制硕士研究生</w:t>
      </w:r>
      <w:r w:rsidRPr="00794CC1">
        <w:rPr>
          <w:rFonts w:hint="eastAsia"/>
        </w:rPr>
        <w:t>奖助学金标准</w:t>
      </w:r>
    </w:p>
    <w:p w:rsidR="005E1247" w:rsidRDefault="005E1247" w:rsidP="005E1247">
      <w:pPr>
        <w:spacing w:line="360" w:lineRule="auto"/>
        <w:ind w:firstLineChars="202" w:firstLine="424"/>
      </w:pPr>
      <w:r w:rsidRPr="00794CC1">
        <w:t>2015</w:t>
      </w:r>
      <w:r w:rsidRPr="00794CC1">
        <w:t>年，</w:t>
      </w:r>
      <w:r w:rsidRPr="00794CC1">
        <w:t>87</w:t>
      </w:r>
      <w:r w:rsidRPr="00794CC1">
        <w:t>名研究生获得国家奖学金，</w:t>
      </w:r>
      <w:r w:rsidRPr="00794CC1">
        <w:t>1559</w:t>
      </w:r>
      <w:r w:rsidRPr="00794CC1">
        <w:t>名同学获得研究生学业奖学金和学校学业奖助学金，</w:t>
      </w:r>
      <w:r w:rsidRPr="00794CC1">
        <w:t>3239</w:t>
      </w:r>
      <w:r w:rsidRPr="00794CC1">
        <w:lastRenderedPageBreak/>
        <w:t>人获得国家助学金，</w:t>
      </w:r>
      <w:r w:rsidRPr="00794CC1">
        <w:t>52</w:t>
      </w:r>
      <w:r w:rsidRPr="00794CC1">
        <w:t>名学生获得特困助学金，共资助</w:t>
      </w:r>
      <w:r w:rsidRPr="00794CC1">
        <w:t>4885</w:t>
      </w:r>
      <w:r w:rsidRPr="00794CC1">
        <w:t>人次，总金额达</w:t>
      </w:r>
      <w:r w:rsidRPr="00794CC1">
        <w:t>3781</w:t>
      </w:r>
      <w:r w:rsidRPr="00794CC1">
        <w:t>万元。博士受奖覆盖面达</w:t>
      </w:r>
      <w:r w:rsidRPr="00794CC1">
        <w:t>70%</w:t>
      </w:r>
      <w:r w:rsidRPr="00794CC1">
        <w:t>，硕士受奖覆盖面达</w:t>
      </w:r>
      <w:r w:rsidRPr="00794CC1">
        <w:t>50%</w:t>
      </w:r>
      <w:r w:rsidRPr="00794CC1">
        <w:t>。具体资助标准见表</w:t>
      </w:r>
      <w:r w:rsidRPr="00794CC1">
        <w:rPr>
          <w:rFonts w:hint="eastAsia"/>
        </w:rPr>
        <w:t>1</w:t>
      </w:r>
      <w:r w:rsidRPr="00794CC1">
        <w:t>。</w:t>
      </w:r>
    </w:p>
    <w:p w:rsidR="00012056" w:rsidRDefault="00012056" w:rsidP="005E1247">
      <w:pPr>
        <w:spacing w:line="360" w:lineRule="auto"/>
        <w:ind w:firstLineChars="202" w:firstLine="424"/>
      </w:pPr>
    </w:p>
    <w:p w:rsidR="00012056" w:rsidRDefault="00012056" w:rsidP="005E1247">
      <w:pPr>
        <w:spacing w:line="360" w:lineRule="auto"/>
        <w:ind w:firstLineChars="202" w:firstLine="424"/>
      </w:pPr>
    </w:p>
    <w:p w:rsidR="00012056" w:rsidRDefault="00012056" w:rsidP="005E1247">
      <w:pPr>
        <w:spacing w:line="360" w:lineRule="auto"/>
        <w:ind w:firstLineChars="202" w:firstLine="424"/>
      </w:pPr>
    </w:p>
    <w:p w:rsidR="00012056" w:rsidRPr="00794CC1" w:rsidRDefault="00012056" w:rsidP="005E1247">
      <w:pPr>
        <w:spacing w:line="360" w:lineRule="auto"/>
        <w:ind w:firstLineChars="202" w:firstLine="424"/>
      </w:pPr>
    </w:p>
    <w:p w:rsidR="005E1247" w:rsidRPr="00012056" w:rsidRDefault="005E1247" w:rsidP="005E1247">
      <w:pPr>
        <w:spacing w:line="360" w:lineRule="auto"/>
        <w:ind w:firstLineChars="202" w:firstLine="426"/>
        <w:jc w:val="center"/>
        <w:rPr>
          <w:rFonts w:ascii="Helvetica" w:eastAsia="宋体" w:hAnsi="Helvetica" w:cs="Helvetica"/>
          <w:b/>
          <w:color w:val="333333"/>
          <w:kern w:val="0"/>
          <w:szCs w:val="21"/>
        </w:rPr>
      </w:pPr>
      <w:r w:rsidRPr="00012056">
        <w:rPr>
          <w:rFonts w:ascii="Helvetica" w:eastAsia="宋体" w:hAnsi="Helvetica" w:cs="Helvetica" w:hint="eastAsia"/>
          <w:b/>
          <w:color w:val="333333"/>
          <w:kern w:val="0"/>
          <w:szCs w:val="21"/>
        </w:rPr>
        <w:t>表</w:t>
      </w:r>
      <w:r w:rsidRPr="00012056">
        <w:rPr>
          <w:rFonts w:ascii="Helvetica" w:eastAsia="宋体" w:hAnsi="Helvetica" w:cs="Helvetica" w:hint="eastAsia"/>
          <w:b/>
          <w:color w:val="333333"/>
          <w:kern w:val="0"/>
          <w:szCs w:val="21"/>
        </w:rPr>
        <w:t xml:space="preserve">1 </w:t>
      </w:r>
      <w:r w:rsidRPr="00012056">
        <w:rPr>
          <w:rFonts w:ascii="Helvetica" w:eastAsia="宋体" w:hAnsi="Helvetica" w:cs="Helvetica" w:hint="eastAsia"/>
          <w:b/>
          <w:color w:val="333333"/>
          <w:kern w:val="0"/>
          <w:szCs w:val="21"/>
        </w:rPr>
        <w:t>奖助学金标准</w:t>
      </w:r>
    </w:p>
    <w:tbl>
      <w:tblPr>
        <w:tblW w:w="9225" w:type="dxa"/>
        <w:jc w:val="center"/>
        <w:tblLayout w:type="fixed"/>
        <w:tblLook w:val="04A0" w:firstRow="1" w:lastRow="0" w:firstColumn="1" w:lastColumn="0" w:noHBand="0" w:noVBand="1"/>
      </w:tblPr>
      <w:tblGrid>
        <w:gridCol w:w="1002"/>
        <w:gridCol w:w="1188"/>
        <w:gridCol w:w="1231"/>
        <w:gridCol w:w="1231"/>
        <w:gridCol w:w="1435"/>
        <w:gridCol w:w="1130"/>
        <w:gridCol w:w="1004"/>
        <w:gridCol w:w="1004"/>
      </w:tblGrid>
      <w:tr w:rsidR="005E1247" w:rsidRPr="00E551D9" w:rsidTr="00513AC9">
        <w:trPr>
          <w:trHeight w:val="702"/>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层次</w:t>
            </w:r>
          </w:p>
        </w:tc>
        <w:tc>
          <w:tcPr>
            <w:tcW w:w="1188"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奖助</w:t>
            </w:r>
          </w:p>
          <w:p w:rsidR="005E1247" w:rsidRPr="00E551D9" w:rsidRDefault="005E1247" w:rsidP="00513AC9">
            <w:pPr>
              <w:spacing w:line="360" w:lineRule="auto"/>
              <w:jc w:val="center"/>
              <w:rPr>
                <w:szCs w:val="21"/>
              </w:rPr>
            </w:pPr>
            <w:r w:rsidRPr="00E551D9">
              <w:rPr>
                <w:rFonts w:hint="eastAsia"/>
                <w:szCs w:val="21"/>
              </w:rPr>
              <w:t>等次</w:t>
            </w:r>
          </w:p>
        </w:tc>
        <w:tc>
          <w:tcPr>
            <w:tcW w:w="1231"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占研究生</w:t>
            </w:r>
          </w:p>
          <w:p w:rsidR="005E1247" w:rsidRPr="00E551D9" w:rsidRDefault="005E1247" w:rsidP="00513AC9">
            <w:pPr>
              <w:spacing w:line="360" w:lineRule="auto"/>
              <w:jc w:val="center"/>
              <w:rPr>
                <w:szCs w:val="21"/>
              </w:rPr>
            </w:pPr>
            <w:r w:rsidRPr="00E551D9">
              <w:rPr>
                <w:rFonts w:hint="eastAsia"/>
                <w:szCs w:val="21"/>
              </w:rPr>
              <w:t>比例（</w:t>
            </w:r>
            <w:r w:rsidRPr="00E551D9">
              <w:rPr>
                <w:rFonts w:hint="eastAsia"/>
                <w:szCs w:val="21"/>
              </w:rPr>
              <w:t>%</w:t>
            </w:r>
            <w:r w:rsidRPr="00E551D9">
              <w:rPr>
                <w:rFonts w:hint="eastAsia"/>
                <w:szCs w:val="21"/>
              </w:rPr>
              <w:t>）</w:t>
            </w:r>
          </w:p>
        </w:tc>
        <w:tc>
          <w:tcPr>
            <w:tcW w:w="1231"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国家</w:t>
            </w:r>
          </w:p>
          <w:p w:rsidR="005E1247" w:rsidRPr="00E551D9" w:rsidRDefault="005E1247" w:rsidP="00513AC9">
            <w:pPr>
              <w:spacing w:line="360" w:lineRule="auto"/>
              <w:jc w:val="center"/>
              <w:rPr>
                <w:szCs w:val="21"/>
              </w:rPr>
            </w:pPr>
            <w:r w:rsidRPr="00E551D9">
              <w:rPr>
                <w:rFonts w:hint="eastAsia"/>
                <w:szCs w:val="21"/>
              </w:rPr>
              <w:t>助学金</w:t>
            </w:r>
          </w:p>
        </w:tc>
        <w:tc>
          <w:tcPr>
            <w:tcW w:w="1435"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学业奖学金国家部分</w:t>
            </w:r>
          </w:p>
        </w:tc>
        <w:tc>
          <w:tcPr>
            <w:tcW w:w="1130"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学校奖</w:t>
            </w:r>
          </w:p>
          <w:p w:rsidR="005E1247" w:rsidRPr="00E551D9" w:rsidRDefault="005E1247" w:rsidP="00513AC9">
            <w:pPr>
              <w:spacing w:line="360" w:lineRule="auto"/>
              <w:jc w:val="center"/>
              <w:rPr>
                <w:szCs w:val="21"/>
              </w:rPr>
            </w:pPr>
            <w:r w:rsidRPr="00E551D9">
              <w:rPr>
                <w:rFonts w:hint="eastAsia"/>
                <w:szCs w:val="21"/>
              </w:rPr>
              <w:t>助学金</w:t>
            </w:r>
          </w:p>
        </w:tc>
        <w:tc>
          <w:tcPr>
            <w:tcW w:w="1004"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导师</w:t>
            </w:r>
          </w:p>
          <w:p w:rsidR="005E1247" w:rsidRPr="00E551D9" w:rsidRDefault="005E1247" w:rsidP="00513AC9">
            <w:pPr>
              <w:spacing w:line="360" w:lineRule="auto"/>
              <w:jc w:val="center"/>
              <w:rPr>
                <w:szCs w:val="21"/>
              </w:rPr>
            </w:pPr>
            <w:r w:rsidRPr="00E551D9">
              <w:rPr>
                <w:rFonts w:hint="eastAsia"/>
                <w:szCs w:val="21"/>
              </w:rPr>
              <w:t>助学金</w:t>
            </w:r>
          </w:p>
        </w:tc>
        <w:tc>
          <w:tcPr>
            <w:tcW w:w="1004"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合计</w:t>
            </w:r>
          </w:p>
        </w:tc>
      </w:tr>
      <w:tr w:rsidR="005E1247" w:rsidRPr="00E551D9" w:rsidTr="00513AC9">
        <w:trPr>
          <w:jc w:val="center"/>
        </w:trPr>
        <w:tc>
          <w:tcPr>
            <w:tcW w:w="10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硕士</w:t>
            </w: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一等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8</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6000</w:t>
            </w:r>
          </w:p>
        </w:tc>
        <w:tc>
          <w:tcPr>
            <w:tcW w:w="1435"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6000</w:t>
            </w: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4000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2400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18400</w:t>
            </w:r>
          </w:p>
        </w:tc>
      </w:tr>
      <w:tr w:rsidR="005E1247" w:rsidRPr="00E551D9" w:rsidTr="00513AC9">
        <w:trPr>
          <w:jc w:val="center"/>
        </w:trPr>
        <w:tc>
          <w:tcPr>
            <w:tcW w:w="1002" w:type="dxa"/>
            <w:vMerge/>
            <w:tcBorders>
              <w:top w:val="nil"/>
              <w:left w:val="single" w:sz="4" w:space="0" w:color="000000"/>
              <w:bottom w:val="single" w:sz="4" w:space="0" w:color="000000"/>
              <w:right w:val="single" w:sz="4" w:space="0" w:color="000000"/>
            </w:tcBorders>
            <w:vAlign w:val="center"/>
            <w:hideMark/>
          </w:tcPr>
          <w:p w:rsidR="005E1247" w:rsidRPr="00E551D9" w:rsidRDefault="005E1247" w:rsidP="00513AC9">
            <w:pPr>
              <w:spacing w:line="360" w:lineRule="auto"/>
              <w:jc w:val="center"/>
              <w:rPr>
                <w:szCs w:val="21"/>
              </w:rPr>
            </w:pP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二等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12</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6000</w:t>
            </w:r>
          </w:p>
        </w:tc>
        <w:tc>
          <w:tcPr>
            <w:tcW w:w="1435"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4800</w:t>
            </w: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3200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2400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16400</w:t>
            </w:r>
          </w:p>
        </w:tc>
      </w:tr>
      <w:tr w:rsidR="005E1247" w:rsidRPr="00E551D9" w:rsidTr="00513AC9">
        <w:trPr>
          <w:jc w:val="center"/>
        </w:trPr>
        <w:tc>
          <w:tcPr>
            <w:tcW w:w="1002" w:type="dxa"/>
            <w:vMerge/>
            <w:tcBorders>
              <w:top w:val="nil"/>
              <w:left w:val="single" w:sz="4" w:space="0" w:color="000000"/>
              <w:bottom w:val="single" w:sz="4" w:space="0" w:color="000000"/>
              <w:right w:val="single" w:sz="4" w:space="0" w:color="000000"/>
            </w:tcBorders>
            <w:vAlign w:val="center"/>
            <w:hideMark/>
          </w:tcPr>
          <w:p w:rsidR="005E1247" w:rsidRPr="00E551D9" w:rsidRDefault="005E1247" w:rsidP="00513AC9">
            <w:pPr>
              <w:spacing w:line="360" w:lineRule="auto"/>
              <w:jc w:val="center"/>
              <w:rPr>
                <w:szCs w:val="21"/>
              </w:rPr>
            </w:pP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三等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20</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6000</w:t>
            </w:r>
          </w:p>
        </w:tc>
        <w:tc>
          <w:tcPr>
            <w:tcW w:w="1435"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3600</w:t>
            </w: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2400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2400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14400</w:t>
            </w:r>
          </w:p>
        </w:tc>
      </w:tr>
      <w:tr w:rsidR="005E1247" w:rsidRPr="00E551D9" w:rsidTr="00513AC9">
        <w:trPr>
          <w:jc w:val="center"/>
        </w:trPr>
        <w:tc>
          <w:tcPr>
            <w:tcW w:w="1002" w:type="dxa"/>
            <w:vMerge/>
            <w:tcBorders>
              <w:top w:val="nil"/>
              <w:left w:val="single" w:sz="4" w:space="0" w:color="000000"/>
              <w:bottom w:val="single" w:sz="4" w:space="0" w:color="000000"/>
              <w:right w:val="single" w:sz="4" w:space="0" w:color="000000"/>
            </w:tcBorders>
            <w:vAlign w:val="center"/>
            <w:hideMark/>
          </w:tcPr>
          <w:p w:rsidR="005E1247" w:rsidRPr="00E551D9" w:rsidRDefault="005E1247" w:rsidP="00513AC9">
            <w:pPr>
              <w:spacing w:line="360" w:lineRule="auto"/>
              <w:jc w:val="center"/>
              <w:rPr>
                <w:szCs w:val="21"/>
              </w:rPr>
            </w:pP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四等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w:t>
            </w:r>
          </w:p>
        </w:tc>
        <w:tc>
          <w:tcPr>
            <w:tcW w:w="1231" w:type="dxa"/>
            <w:tcBorders>
              <w:top w:val="single" w:sz="4" w:space="0" w:color="000000"/>
              <w:left w:val="nil"/>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rPr>
                <w:szCs w:val="21"/>
              </w:rPr>
            </w:pPr>
            <w:r w:rsidRPr="00E551D9">
              <w:rPr>
                <w:szCs w:val="21"/>
              </w:rPr>
              <w:t>6000</w:t>
            </w:r>
          </w:p>
        </w:tc>
        <w:tc>
          <w:tcPr>
            <w:tcW w:w="1435" w:type="dxa"/>
            <w:tcBorders>
              <w:top w:val="single" w:sz="4" w:space="0" w:color="000000"/>
              <w:left w:val="nil"/>
              <w:bottom w:val="single" w:sz="4" w:space="0" w:color="000000"/>
              <w:right w:val="single" w:sz="4" w:space="0" w:color="000000"/>
              <w:tr2bl w:val="single" w:sz="4" w:space="0" w:color="auto"/>
            </w:tcBorders>
            <w:shd w:val="clear" w:color="auto" w:fill="auto"/>
            <w:vAlign w:val="center"/>
            <w:hideMark/>
          </w:tcPr>
          <w:p w:rsidR="005E1247" w:rsidRPr="00E551D9" w:rsidRDefault="005E1247" w:rsidP="00513AC9">
            <w:pPr>
              <w:spacing w:line="360" w:lineRule="auto"/>
              <w:rPr>
                <w:szCs w:val="21"/>
              </w:rPr>
            </w:pP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2400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2400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10800</w:t>
            </w:r>
          </w:p>
        </w:tc>
      </w:tr>
      <w:tr w:rsidR="005E1247" w:rsidRPr="00E551D9" w:rsidTr="00513AC9">
        <w:trPr>
          <w:jc w:val="center"/>
        </w:trPr>
        <w:tc>
          <w:tcPr>
            <w:tcW w:w="10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1247" w:rsidRPr="00E551D9" w:rsidRDefault="005E1247" w:rsidP="00513AC9">
            <w:pPr>
              <w:spacing w:line="360" w:lineRule="auto"/>
              <w:jc w:val="center"/>
              <w:rPr>
                <w:szCs w:val="21"/>
              </w:rPr>
            </w:pPr>
            <w:r w:rsidRPr="00E551D9">
              <w:rPr>
                <w:rFonts w:hint="eastAsia"/>
                <w:szCs w:val="21"/>
              </w:rPr>
              <w:t>博士</w:t>
            </w: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一等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14</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10000</w:t>
            </w:r>
          </w:p>
        </w:tc>
        <w:tc>
          <w:tcPr>
            <w:tcW w:w="1435"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7200</w:t>
            </w: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4800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28000</w:t>
            </w:r>
          </w:p>
        </w:tc>
      </w:tr>
      <w:tr w:rsidR="005E1247" w:rsidRPr="00E551D9" w:rsidTr="00513AC9">
        <w:trPr>
          <w:jc w:val="center"/>
        </w:trPr>
        <w:tc>
          <w:tcPr>
            <w:tcW w:w="1002" w:type="dxa"/>
            <w:vMerge/>
            <w:tcBorders>
              <w:top w:val="nil"/>
              <w:left w:val="single" w:sz="4" w:space="0" w:color="000000"/>
              <w:bottom w:val="single" w:sz="4" w:space="0" w:color="000000"/>
              <w:right w:val="single" w:sz="4" w:space="0" w:color="000000"/>
            </w:tcBorders>
            <w:vAlign w:val="center"/>
            <w:hideMark/>
          </w:tcPr>
          <w:p w:rsidR="005E1247" w:rsidRPr="00E551D9" w:rsidRDefault="005E1247" w:rsidP="00513AC9">
            <w:pPr>
              <w:spacing w:line="360" w:lineRule="auto"/>
              <w:rPr>
                <w:szCs w:val="21"/>
              </w:rPr>
            </w:pP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二等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21</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10000</w:t>
            </w:r>
          </w:p>
        </w:tc>
        <w:tc>
          <w:tcPr>
            <w:tcW w:w="1435"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6000</w:t>
            </w: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5000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4800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25800</w:t>
            </w:r>
          </w:p>
        </w:tc>
      </w:tr>
      <w:tr w:rsidR="005E1247" w:rsidRPr="00E551D9" w:rsidTr="00513AC9">
        <w:trPr>
          <w:jc w:val="center"/>
        </w:trPr>
        <w:tc>
          <w:tcPr>
            <w:tcW w:w="1002" w:type="dxa"/>
            <w:vMerge/>
            <w:tcBorders>
              <w:top w:val="nil"/>
              <w:left w:val="single" w:sz="4" w:space="0" w:color="000000"/>
              <w:bottom w:val="single" w:sz="4" w:space="0" w:color="000000"/>
              <w:right w:val="single" w:sz="4" w:space="0" w:color="000000"/>
            </w:tcBorders>
            <w:vAlign w:val="center"/>
            <w:hideMark/>
          </w:tcPr>
          <w:p w:rsidR="005E1247" w:rsidRPr="00E551D9" w:rsidRDefault="005E1247" w:rsidP="00513AC9">
            <w:pPr>
              <w:spacing w:line="360" w:lineRule="auto"/>
              <w:rPr>
                <w:szCs w:val="21"/>
              </w:rPr>
            </w:pP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三等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35</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10000</w:t>
            </w:r>
          </w:p>
        </w:tc>
        <w:tc>
          <w:tcPr>
            <w:tcW w:w="1435"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4800</w:t>
            </w: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4000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4800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23600</w:t>
            </w:r>
          </w:p>
        </w:tc>
      </w:tr>
      <w:tr w:rsidR="005E1247" w:rsidRPr="00E551D9" w:rsidTr="00513AC9">
        <w:trPr>
          <w:jc w:val="center"/>
        </w:trPr>
        <w:tc>
          <w:tcPr>
            <w:tcW w:w="1002" w:type="dxa"/>
            <w:vMerge/>
            <w:tcBorders>
              <w:top w:val="nil"/>
              <w:left w:val="single" w:sz="4" w:space="0" w:color="000000"/>
              <w:bottom w:val="single" w:sz="4" w:space="0" w:color="000000"/>
              <w:right w:val="single" w:sz="4" w:space="0" w:color="000000"/>
            </w:tcBorders>
            <w:vAlign w:val="center"/>
            <w:hideMark/>
          </w:tcPr>
          <w:p w:rsidR="005E1247" w:rsidRPr="00E551D9" w:rsidRDefault="005E1247" w:rsidP="00513AC9">
            <w:pPr>
              <w:spacing w:line="360" w:lineRule="auto"/>
              <w:rPr>
                <w:szCs w:val="21"/>
              </w:rPr>
            </w:pPr>
          </w:p>
        </w:tc>
        <w:tc>
          <w:tcPr>
            <w:tcW w:w="1188"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rFonts w:hint="eastAsia"/>
                <w:szCs w:val="21"/>
              </w:rPr>
              <w:t>四等</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30</w:t>
            </w:r>
          </w:p>
        </w:tc>
        <w:tc>
          <w:tcPr>
            <w:tcW w:w="1231"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10000</w:t>
            </w:r>
          </w:p>
        </w:tc>
        <w:tc>
          <w:tcPr>
            <w:tcW w:w="1435" w:type="dxa"/>
            <w:tcBorders>
              <w:top w:val="single" w:sz="4" w:space="0" w:color="000000"/>
              <w:left w:val="nil"/>
              <w:bottom w:val="single" w:sz="4" w:space="0" w:color="000000"/>
              <w:right w:val="single" w:sz="4" w:space="0" w:color="000000"/>
              <w:tr2bl w:val="single" w:sz="4" w:space="0" w:color="auto"/>
            </w:tcBorders>
            <w:shd w:val="clear" w:color="auto" w:fill="auto"/>
            <w:vAlign w:val="center"/>
            <w:hideMark/>
          </w:tcPr>
          <w:p w:rsidR="005E1247" w:rsidRPr="00E551D9" w:rsidRDefault="005E1247" w:rsidP="00513AC9">
            <w:pPr>
              <w:spacing w:line="360" w:lineRule="auto"/>
              <w:rPr>
                <w:szCs w:val="21"/>
              </w:rPr>
            </w:pPr>
          </w:p>
        </w:tc>
        <w:tc>
          <w:tcPr>
            <w:tcW w:w="1130"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4000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4800</w:t>
            </w:r>
          </w:p>
        </w:tc>
        <w:tc>
          <w:tcPr>
            <w:tcW w:w="1004" w:type="dxa"/>
            <w:tcBorders>
              <w:top w:val="single" w:sz="4" w:space="0" w:color="000000"/>
              <w:left w:val="nil"/>
              <w:bottom w:val="single" w:sz="4" w:space="0" w:color="000000"/>
              <w:right w:val="single" w:sz="4" w:space="0" w:color="000000"/>
            </w:tcBorders>
            <w:shd w:val="clear" w:color="auto" w:fill="auto"/>
            <w:hideMark/>
          </w:tcPr>
          <w:p w:rsidR="005E1247" w:rsidRPr="00E551D9" w:rsidRDefault="005E1247" w:rsidP="00513AC9">
            <w:pPr>
              <w:spacing w:line="360" w:lineRule="auto"/>
              <w:rPr>
                <w:szCs w:val="21"/>
              </w:rPr>
            </w:pPr>
            <w:r w:rsidRPr="00E551D9">
              <w:rPr>
                <w:szCs w:val="21"/>
              </w:rPr>
              <w:t>18800</w:t>
            </w:r>
          </w:p>
        </w:tc>
      </w:tr>
    </w:tbl>
    <w:p w:rsidR="005E1247" w:rsidRPr="00E551D9" w:rsidRDefault="005E1247" w:rsidP="005E1247">
      <w:pPr>
        <w:spacing w:line="360" w:lineRule="auto"/>
        <w:rPr>
          <w:szCs w:val="21"/>
        </w:rPr>
      </w:pPr>
      <w:r w:rsidRPr="00E551D9">
        <w:rPr>
          <w:rFonts w:hint="eastAsia"/>
          <w:szCs w:val="21"/>
        </w:rPr>
        <w:t>注：本表不含如下奖助金：</w:t>
      </w:r>
    </w:p>
    <w:p w:rsidR="005E1247" w:rsidRPr="00E551D9" w:rsidRDefault="005E1247" w:rsidP="005E1247">
      <w:pPr>
        <w:pStyle w:val="a6"/>
        <w:numPr>
          <w:ilvl w:val="0"/>
          <w:numId w:val="5"/>
        </w:numPr>
        <w:spacing w:line="360" w:lineRule="auto"/>
        <w:ind w:firstLineChars="0"/>
      </w:pPr>
      <w:r w:rsidRPr="00E551D9">
        <w:rPr>
          <w:rFonts w:hint="eastAsia"/>
        </w:rPr>
        <w:t>国家奖学金：每年评选一次，获奖硕士生</w:t>
      </w:r>
      <w:r w:rsidRPr="00E551D9">
        <w:rPr>
          <w:rFonts w:hint="eastAsia"/>
        </w:rPr>
        <w:t>2</w:t>
      </w:r>
      <w:r w:rsidRPr="00E551D9">
        <w:rPr>
          <w:rFonts w:hint="eastAsia"/>
        </w:rPr>
        <w:t>万元、博士生</w:t>
      </w:r>
      <w:r w:rsidRPr="00E551D9">
        <w:rPr>
          <w:rFonts w:hint="eastAsia"/>
        </w:rPr>
        <w:t>3</w:t>
      </w:r>
      <w:r w:rsidRPr="00E551D9">
        <w:rPr>
          <w:rFonts w:hint="eastAsia"/>
        </w:rPr>
        <w:t>万元；</w:t>
      </w:r>
    </w:p>
    <w:p w:rsidR="005E1247" w:rsidRPr="00E551D9" w:rsidRDefault="005E1247" w:rsidP="005E1247">
      <w:pPr>
        <w:pStyle w:val="a6"/>
        <w:numPr>
          <w:ilvl w:val="0"/>
          <w:numId w:val="5"/>
        </w:numPr>
        <w:spacing w:line="360" w:lineRule="auto"/>
        <w:ind w:firstLineChars="0"/>
      </w:pPr>
      <w:r w:rsidRPr="00E551D9">
        <w:t>（</w:t>
      </w:r>
      <w:r w:rsidRPr="00E551D9">
        <w:rPr>
          <w:rFonts w:hint="eastAsia"/>
        </w:rPr>
        <w:t>2015</w:t>
      </w:r>
      <w:r w:rsidRPr="00E551D9">
        <w:rPr>
          <w:rFonts w:hint="eastAsia"/>
        </w:rPr>
        <w:t>年博士生获奖</w:t>
      </w:r>
      <w:r w:rsidRPr="00E551D9">
        <w:rPr>
          <w:rFonts w:hint="eastAsia"/>
        </w:rPr>
        <w:t>18</w:t>
      </w:r>
      <w:r w:rsidRPr="00E551D9">
        <w:rPr>
          <w:rFonts w:hint="eastAsia"/>
        </w:rPr>
        <w:t>人，硕士生获奖</w:t>
      </w:r>
      <w:r w:rsidRPr="00E551D9">
        <w:rPr>
          <w:rFonts w:hint="eastAsia"/>
        </w:rPr>
        <w:t>69</w:t>
      </w:r>
      <w:r w:rsidRPr="00E551D9">
        <w:rPr>
          <w:rFonts w:hint="eastAsia"/>
        </w:rPr>
        <w:t>人</w:t>
      </w:r>
      <w:r w:rsidRPr="00E551D9">
        <w:t>）</w:t>
      </w:r>
    </w:p>
    <w:p w:rsidR="005E1247" w:rsidRPr="00E551D9" w:rsidRDefault="005E1247" w:rsidP="005E1247">
      <w:pPr>
        <w:pStyle w:val="a6"/>
        <w:numPr>
          <w:ilvl w:val="0"/>
          <w:numId w:val="5"/>
        </w:numPr>
        <w:spacing w:line="360" w:lineRule="auto"/>
        <w:ind w:firstLineChars="0"/>
      </w:pPr>
      <w:r w:rsidRPr="00E551D9">
        <w:rPr>
          <w:rFonts w:hint="eastAsia"/>
        </w:rPr>
        <w:t>导师奖学金：导师根据学业表现发放导师奖学金；</w:t>
      </w:r>
    </w:p>
    <w:p w:rsidR="005E1247" w:rsidRPr="00E551D9" w:rsidRDefault="005E1247" w:rsidP="005E1247">
      <w:pPr>
        <w:pStyle w:val="a6"/>
        <w:numPr>
          <w:ilvl w:val="0"/>
          <w:numId w:val="5"/>
        </w:numPr>
        <w:spacing w:line="360" w:lineRule="auto"/>
        <w:ind w:firstLineChars="0"/>
      </w:pPr>
      <w:r w:rsidRPr="00E551D9">
        <w:rPr>
          <w:rFonts w:hint="eastAsia"/>
        </w:rPr>
        <w:t>优秀学位论文奖：校级硕士学位论文</w:t>
      </w:r>
      <w:r w:rsidRPr="00E551D9">
        <w:rPr>
          <w:rFonts w:hint="eastAsia"/>
        </w:rPr>
        <w:t>3000</w:t>
      </w:r>
      <w:r w:rsidRPr="00E551D9">
        <w:rPr>
          <w:rFonts w:hint="eastAsia"/>
        </w:rPr>
        <w:t>元、博士论文</w:t>
      </w:r>
      <w:r w:rsidRPr="00E551D9">
        <w:rPr>
          <w:rFonts w:hint="eastAsia"/>
        </w:rPr>
        <w:t>6000</w:t>
      </w:r>
      <w:r w:rsidRPr="00E551D9">
        <w:rPr>
          <w:rFonts w:hint="eastAsia"/>
        </w:rPr>
        <w:t>元；</w:t>
      </w:r>
    </w:p>
    <w:p w:rsidR="005E1247" w:rsidRPr="00E551D9" w:rsidRDefault="005E1247" w:rsidP="005E1247">
      <w:pPr>
        <w:pStyle w:val="a6"/>
        <w:numPr>
          <w:ilvl w:val="0"/>
          <w:numId w:val="5"/>
        </w:numPr>
        <w:spacing w:line="360" w:lineRule="auto"/>
        <w:ind w:firstLineChars="0"/>
      </w:pPr>
      <w:r w:rsidRPr="00E551D9">
        <w:rPr>
          <w:rFonts w:hint="eastAsia"/>
        </w:rPr>
        <w:t>4</w:t>
      </w:r>
      <w:r w:rsidRPr="00E551D9">
        <w:rPr>
          <w:rFonts w:hint="eastAsia"/>
        </w:rPr>
        <w:t>．特困研究生助学金：硕士</w:t>
      </w:r>
      <w:r w:rsidRPr="00E551D9">
        <w:rPr>
          <w:rFonts w:hint="eastAsia"/>
        </w:rPr>
        <w:t>3000</w:t>
      </w:r>
      <w:r w:rsidRPr="00E551D9">
        <w:rPr>
          <w:rFonts w:hint="eastAsia"/>
        </w:rPr>
        <w:t>元</w:t>
      </w:r>
      <w:r w:rsidRPr="00E551D9">
        <w:rPr>
          <w:rFonts w:hint="eastAsia"/>
        </w:rPr>
        <w:t>/</w:t>
      </w:r>
      <w:r w:rsidRPr="00E551D9">
        <w:rPr>
          <w:rFonts w:hint="eastAsia"/>
        </w:rPr>
        <w:t>年</w:t>
      </w:r>
      <w:r w:rsidRPr="00E551D9">
        <w:rPr>
          <w:rFonts w:hint="eastAsia"/>
        </w:rPr>
        <w:t xml:space="preserve">, </w:t>
      </w:r>
      <w:r w:rsidRPr="00E551D9">
        <w:rPr>
          <w:rFonts w:hint="eastAsia"/>
        </w:rPr>
        <w:t>博士</w:t>
      </w:r>
      <w:r w:rsidRPr="00E551D9">
        <w:rPr>
          <w:rFonts w:hint="eastAsia"/>
        </w:rPr>
        <w:t>5000</w:t>
      </w:r>
      <w:r w:rsidRPr="00E551D9">
        <w:rPr>
          <w:rFonts w:hint="eastAsia"/>
        </w:rPr>
        <w:t>元</w:t>
      </w:r>
      <w:r w:rsidRPr="00E551D9">
        <w:rPr>
          <w:rFonts w:hint="eastAsia"/>
        </w:rPr>
        <w:t>/</w:t>
      </w:r>
      <w:r w:rsidRPr="00E551D9">
        <w:rPr>
          <w:rFonts w:hint="eastAsia"/>
        </w:rPr>
        <w:t>年。</w:t>
      </w:r>
    </w:p>
    <w:p w:rsidR="00A3693E" w:rsidRPr="0022106E" w:rsidRDefault="00C44256" w:rsidP="00FB678C">
      <w:pPr>
        <w:spacing w:line="360" w:lineRule="auto"/>
        <w:rPr>
          <w:b/>
          <w:szCs w:val="21"/>
        </w:rPr>
      </w:pPr>
      <w:r>
        <w:rPr>
          <w:rFonts w:hint="eastAsia"/>
          <w:b/>
          <w:szCs w:val="21"/>
        </w:rPr>
        <w:t>六</w:t>
      </w:r>
      <w:r w:rsidR="00FB678C">
        <w:rPr>
          <w:rFonts w:hint="eastAsia"/>
          <w:b/>
          <w:szCs w:val="21"/>
        </w:rPr>
        <w:t>、</w:t>
      </w:r>
      <w:r w:rsidR="00850549" w:rsidRPr="0022106E">
        <w:rPr>
          <w:rFonts w:hint="eastAsia"/>
          <w:b/>
          <w:szCs w:val="21"/>
        </w:rPr>
        <w:t>各院所招生咨询电话</w:t>
      </w:r>
    </w:p>
    <w:tbl>
      <w:tblPr>
        <w:tblW w:w="6780" w:type="dxa"/>
        <w:jc w:val="center"/>
        <w:tblLook w:val="04A0" w:firstRow="1" w:lastRow="0" w:firstColumn="1" w:lastColumn="0" w:noHBand="0" w:noVBand="1"/>
      </w:tblPr>
      <w:tblGrid>
        <w:gridCol w:w="2720"/>
        <w:gridCol w:w="1080"/>
        <w:gridCol w:w="1660"/>
        <w:gridCol w:w="1320"/>
      </w:tblGrid>
      <w:tr w:rsidR="00850549" w:rsidRPr="00850549" w:rsidTr="00850549">
        <w:trPr>
          <w:trHeight w:val="360"/>
          <w:jc w:val="center"/>
        </w:trPr>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b/>
                <w:bCs/>
                <w:color w:val="000000"/>
                <w:kern w:val="0"/>
                <w:sz w:val="22"/>
              </w:rPr>
            </w:pPr>
            <w:r w:rsidRPr="00850549">
              <w:rPr>
                <w:rFonts w:ascii="宋体" w:eastAsia="宋体" w:hAnsi="宋体" w:cs="宋体" w:hint="eastAsia"/>
                <w:b/>
                <w:bCs/>
                <w:color w:val="000000"/>
                <w:kern w:val="0"/>
                <w:sz w:val="22"/>
              </w:rPr>
              <w:t>院所名称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b/>
                <w:bCs/>
                <w:color w:val="000000"/>
                <w:kern w:val="0"/>
                <w:sz w:val="22"/>
              </w:rPr>
            </w:pPr>
            <w:r w:rsidRPr="00850549">
              <w:rPr>
                <w:rFonts w:ascii="宋体" w:eastAsia="宋体" w:hAnsi="宋体" w:cs="宋体" w:hint="eastAsia"/>
                <w:b/>
                <w:bCs/>
                <w:color w:val="000000"/>
                <w:kern w:val="0"/>
                <w:sz w:val="22"/>
              </w:rPr>
              <w:t>联系人</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b/>
                <w:bCs/>
                <w:color w:val="000000"/>
                <w:kern w:val="0"/>
                <w:sz w:val="22"/>
              </w:rPr>
            </w:pPr>
            <w:r w:rsidRPr="00850549">
              <w:rPr>
                <w:rFonts w:ascii="宋体" w:eastAsia="宋体" w:hAnsi="宋体" w:cs="宋体" w:hint="eastAsia"/>
                <w:b/>
                <w:bCs/>
                <w:color w:val="000000"/>
                <w:kern w:val="0"/>
                <w:sz w:val="22"/>
              </w:rPr>
              <w:t>联系电话</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b/>
                <w:bCs/>
                <w:color w:val="000000"/>
                <w:kern w:val="0"/>
                <w:sz w:val="22"/>
              </w:rPr>
            </w:pPr>
            <w:r w:rsidRPr="00850549">
              <w:rPr>
                <w:rFonts w:ascii="宋体" w:eastAsia="宋体" w:hAnsi="宋体" w:cs="宋体" w:hint="eastAsia"/>
                <w:b/>
                <w:bCs/>
                <w:color w:val="000000"/>
                <w:kern w:val="0"/>
                <w:sz w:val="22"/>
              </w:rPr>
              <w:t>所在校区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401农学院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胡老师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028-86290875</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402动物科技学院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张老师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028-86291010</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403动物医学院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Pr>
                <w:rFonts w:ascii="宋体" w:eastAsia="宋体" w:hAnsi="宋体" w:cs="宋体" w:hint="eastAsia"/>
                <w:color w:val="000000"/>
                <w:kern w:val="0"/>
                <w:sz w:val="22"/>
              </w:rPr>
              <w:t>蔡</w:t>
            </w:r>
            <w:r w:rsidRPr="00850549">
              <w:rPr>
                <w:rFonts w:ascii="宋体" w:eastAsia="宋体" w:hAnsi="宋体" w:cs="宋体" w:hint="eastAsia"/>
                <w:color w:val="000000"/>
                <w:kern w:val="0"/>
                <w:sz w:val="22"/>
              </w:rPr>
              <w:t>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028-86291162</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404林学院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Pr>
                <w:rFonts w:ascii="宋体" w:eastAsia="宋体" w:hAnsi="宋体" w:cs="宋体" w:hint="eastAsia"/>
                <w:color w:val="000000"/>
                <w:kern w:val="0"/>
                <w:sz w:val="22"/>
              </w:rPr>
              <w:t>陈</w:t>
            </w:r>
            <w:r w:rsidRPr="00850549">
              <w:rPr>
                <w:rFonts w:ascii="宋体" w:eastAsia="宋体" w:hAnsi="宋体" w:cs="宋体" w:hint="eastAsia"/>
                <w:color w:val="000000"/>
                <w:kern w:val="0"/>
                <w:sz w:val="22"/>
              </w:rPr>
              <w:t>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028-86291456</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405园艺学院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张老师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028-86291840</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lastRenderedPageBreak/>
              <w:t>406资源学院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赵老师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028-86290986</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407环境学院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刘老师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028-86291233</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408经济学院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胡老师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028-86291303</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409管理学院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张老师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028-86290893</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410风景园林学院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罗老师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028-82652812</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411水稻研究所</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陈老师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028-86290903</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412小麦研究所</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陈老师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028-82650350</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413玉米研究所</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吴老师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028-86290916</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414动物营养研究所</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彭老师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028-86290922</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成都校区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415理学院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周老师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0835-2885036</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416生命科学学院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陈老师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0835-2886155</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417机电学院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杨老师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0835-2882182</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418食品学院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韩老师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0835-2882311</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419信息工程学院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向老师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0835-2882177</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420水利水电学院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陈老师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0835-2882239</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421马克思主义学院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贾老师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0835-2882286</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422文法学院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黄老师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0835-2882127</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423艺术与体育学院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罗老师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0835-2883020</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雅安校区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425建筑与城乡规划学院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王老师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028-87124710</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都江堰校区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426土木工程学院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钟老师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028-87127472</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都江堰校区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427旅游学院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王老师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028-87144791</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都江堰校区</w:t>
            </w:r>
          </w:p>
        </w:tc>
      </w:tr>
      <w:tr w:rsidR="00850549" w:rsidRPr="00850549" w:rsidTr="00850549">
        <w:trPr>
          <w:trHeight w:val="360"/>
          <w:jc w:val="center"/>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428商学院</w:t>
            </w:r>
          </w:p>
        </w:tc>
        <w:tc>
          <w:tcPr>
            <w:tcW w:w="108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罗老师</w:t>
            </w:r>
          </w:p>
        </w:tc>
        <w:tc>
          <w:tcPr>
            <w:tcW w:w="166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028-87127471</w:t>
            </w:r>
          </w:p>
        </w:tc>
        <w:tc>
          <w:tcPr>
            <w:tcW w:w="1320" w:type="dxa"/>
            <w:tcBorders>
              <w:top w:val="nil"/>
              <w:left w:val="nil"/>
              <w:bottom w:val="single" w:sz="4" w:space="0" w:color="auto"/>
              <w:right w:val="single" w:sz="4" w:space="0" w:color="auto"/>
            </w:tcBorders>
            <w:shd w:val="clear" w:color="auto" w:fill="auto"/>
            <w:noWrap/>
            <w:vAlign w:val="center"/>
            <w:hideMark/>
          </w:tcPr>
          <w:p w:rsidR="00850549" w:rsidRPr="00850549" w:rsidRDefault="00850549" w:rsidP="00157CF8">
            <w:pPr>
              <w:widowControl/>
              <w:spacing w:line="360" w:lineRule="auto"/>
              <w:jc w:val="left"/>
              <w:rPr>
                <w:rFonts w:ascii="宋体" w:eastAsia="宋体" w:hAnsi="宋体" w:cs="宋体"/>
                <w:color w:val="000000"/>
                <w:kern w:val="0"/>
                <w:sz w:val="22"/>
              </w:rPr>
            </w:pPr>
            <w:r w:rsidRPr="00850549">
              <w:rPr>
                <w:rFonts w:ascii="宋体" w:eastAsia="宋体" w:hAnsi="宋体" w:cs="宋体" w:hint="eastAsia"/>
                <w:color w:val="000000"/>
                <w:kern w:val="0"/>
                <w:sz w:val="22"/>
              </w:rPr>
              <w:t>都江堰校区</w:t>
            </w:r>
          </w:p>
        </w:tc>
      </w:tr>
    </w:tbl>
    <w:p w:rsidR="00850549" w:rsidRPr="00055354" w:rsidRDefault="00850549" w:rsidP="00157CF8">
      <w:pPr>
        <w:spacing w:line="360" w:lineRule="auto"/>
        <w:ind w:firstLineChars="202" w:firstLine="424"/>
        <w:rPr>
          <w:szCs w:val="21"/>
        </w:rPr>
      </w:pPr>
    </w:p>
    <w:p w:rsidR="002720A5"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热忱欢迎广大考生报考四川农业大学</w:t>
      </w:r>
    </w:p>
    <w:p w:rsidR="002720A5"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学校地址</w:t>
      </w:r>
    </w:p>
    <w:p w:rsidR="00850549"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雅安校区：雅安市雨城区新康路</w:t>
      </w:r>
      <w:r>
        <w:rPr>
          <w:rFonts w:asciiTheme="majorEastAsia" w:eastAsiaTheme="majorEastAsia" w:hAnsiTheme="majorEastAsia" w:hint="eastAsia"/>
          <w:szCs w:val="21"/>
        </w:rPr>
        <w:t>46号       邮编：625014</w:t>
      </w:r>
    </w:p>
    <w:p w:rsidR="00850549"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成都校区：成都市温江区惠民路</w:t>
      </w:r>
      <w:r>
        <w:rPr>
          <w:rFonts w:asciiTheme="majorEastAsia" w:eastAsiaTheme="majorEastAsia" w:hAnsiTheme="majorEastAsia" w:hint="eastAsia"/>
          <w:szCs w:val="21"/>
        </w:rPr>
        <w:t>211号      邮编：611130</w:t>
      </w:r>
    </w:p>
    <w:p w:rsidR="00850549"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都江堰校区：成都市都江堰市建设路</w:t>
      </w:r>
      <w:r>
        <w:rPr>
          <w:rFonts w:asciiTheme="majorEastAsia" w:eastAsiaTheme="majorEastAsia" w:hAnsiTheme="majorEastAsia" w:hint="eastAsia"/>
          <w:szCs w:val="21"/>
        </w:rPr>
        <w:t>288号  邮编：611830</w:t>
      </w:r>
    </w:p>
    <w:p w:rsidR="00850549"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研究生招生就业科联系电话：</w:t>
      </w:r>
      <w:r>
        <w:rPr>
          <w:rFonts w:asciiTheme="majorEastAsia" w:eastAsiaTheme="majorEastAsia" w:hAnsiTheme="majorEastAsia" w:hint="eastAsia"/>
          <w:szCs w:val="21"/>
        </w:rPr>
        <w:t>028-86290956  02886293031 13330600943</w:t>
      </w:r>
    </w:p>
    <w:p w:rsidR="00850549"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 xml:space="preserve">                    传真：</w:t>
      </w:r>
      <w:r>
        <w:rPr>
          <w:rFonts w:asciiTheme="majorEastAsia" w:eastAsiaTheme="majorEastAsia" w:hAnsiTheme="majorEastAsia" w:hint="eastAsia"/>
          <w:szCs w:val="21"/>
        </w:rPr>
        <w:t>0835-2882911（雅安校区） 028-86290965（成都校区）</w:t>
      </w:r>
    </w:p>
    <w:p w:rsidR="002720A5"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lastRenderedPageBreak/>
        <w:t>学校网址：</w:t>
      </w:r>
      <w:hyperlink r:id="rId8" w:history="1">
        <w:r w:rsidRPr="00030CBC">
          <w:rPr>
            <w:rStyle w:val="a9"/>
            <w:rFonts w:asciiTheme="majorEastAsia" w:eastAsiaTheme="majorEastAsia" w:hAnsiTheme="majorEastAsia"/>
            <w:szCs w:val="21"/>
          </w:rPr>
          <w:t>http://www.sicau.edu.cn</w:t>
        </w:r>
      </w:hyperlink>
    </w:p>
    <w:p w:rsidR="00850549" w:rsidRDefault="00850549"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szCs w:val="21"/>
        </w:rPr>
        <w:t>研究生招生就业网：http://yz.sicau.edu.cn</w:t>
      </w:r>
    </w:p>
    <w:p w:rsidR="002720A5" w:rsidRDefault="002720A5" w:rsidP="00157CF8">
      <w:pPr>
        <w:spacing w:line="360" w:lineRule="auto"/>
        <w:ind w:firstLineChars="202" w:firstLine="424"/>
        <w:rPr>
          <w:rFonts w:asciiTheme="majorEastAsia" w:eastAsiaTheme="majorEastAsia" w:hAnsiTheme="majorEastAsia"/>
          <w:szCs w:val="21"/>
        </w:rPr>
      </w:pPr>
      <w:r>
        <w:rPr>
          <w:rFonts w:asciiTheme="majorEastAsia" w:eastAsiaTheme="majorEastAsia" w:hAnsiTheme="majorEastAsia" w:hint="eastAsia"/>
          <w:szCs w:val="21"/>
        </w:rPr>
        <w:t>Q</w:t>
      </w:r>
      <w:r w:rsidR="00105699">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Q：1320885073， </w:t>
      </w:r>
      <w:r w:rsidR="00105699">
        <w:rPr>
          <w:rFonts w:asciiTheme="majorEastAsia" w:eastAsiaTheme="majorEastAsia" w:hAnsiTheme="majorEastAsia" w:hint="eastAsia"/>
          <w:szCs w:val="21"/>
        </w:rPr>
        <w:t>Email</w:t>
      </w:r>
      <w:r>
        <w:rPr>
          <w:rFonts w:asciiTheme="majorEastAsia" w:eastAsiaTheme="majorEastAsia" w:hAnsiTheme="majorEastAsia" w:hint="eastAsia"/>
          <w:szCs w:val="21"/>
        </w:rPr>
        <w:t>：</w:t>
      </w:r>
      <w:hyperlink r:id="rId9" w:history="1">
        <w:r w:rsidRPr="003316BA">
          <w:rPr>
            <w:rStyle w:val="a9"/>
            <w:rFonts w:asciiTheme="majorEastAsia" w:eastAsiaTheme="majorEastAsia" w:hAnsiTheme="majorEastAsia" w:hint="eastAsia"/>
            <w:szCs w:val="21"/>
          </w:rPr>
          <w:t>1320885073@qq.com</w:t>
        </w:r>
      </w:hyperlink>
    </w:p>
    <w:p w:rsidR="002720A5" w:rsidRPr="000F39B5" w:rsidRDefault="002720A5" w:rsidP="00157CF8">
      <w:pPr>
        <w:spacing w:line="360" w:lineRule="auto"/>
        <w:ind w:firstLineChars="202" w:firstLine="424"/>
        <w:rPr>
          <w:rFonts w:asciiTheme="majorEastAsia" w:eastAsiaTheme="majorEastAsia" w:hAnsiTheme="majorEastAsia"/>
          <w:szCs w:val="21"/>
        </w:rPr>
      </w:pPr>
    </w:p>
    <w:sectPr w:rsidR="002720A5" w:rsidRPr="000F39B5" w:rsidSect="0027038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BEF" w:rsidRDefault="00307BEF" w:rsidP="00894ECC">
      <w:r>
        <w:separator/>
      </w:r>
    </w:p>
  </w:endnote>
  <w:endnote w:type="continuationSeparator" w:id="0">
    <w:p w:rsidR="00307BEF" w:rsidRDefault="00307BEF" w:rsidP="0089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BEF" w:rsidRDefault="00307BEF" w:rsidP="00894ECC">
      <w:r>
        <w:separator/>
      </w:r>
    </w:p>
  </w:footnote>
  <w:footnote w:type="continuationSeparator" w:id="0">
    <w:p w:rsidR="00307BEF" w:rsidRDefault="00307BEF" w:rsidP="00894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31B1"/>
    <w:multiLevelType w:val="hybridMultilevel"/>
    <w:tmpl w:val="0C7E835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9C5AD3"/>
    <w:multiLevelType w:val="hybridMultilevel"/>
    <w:tmpl w:val="384C2B1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5CB3859"/>
    <w:multiLevelType w:val="hybridMultilevel"/>
    <w:tmpl w:val="D2742B84"/>
    <w:lvl w:ilvl="0" w:tplc="79A6731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FC822E0"/>
    <w:multiLevelType w:val="hybridMultilevel"/>
    <w:tmpl w:val="33D26D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59A5913"/>
    <w:multiLevelType w:val="hybridMultilevel"/>
    <w:tmpl w:val="AD2AC536"/>
    <w:lvl w:ilvl="0" w:tplc="C03AF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8D"/>
    <w:rsid w:val="00012056"/>
    <w:rsid w:val="000476A3"/>
    <w:rsid w:val="00055354"/>
    <w:rsid w:val="00057524"/>
    <w:rsid w:val="000D0AB1"/>
    <w:rsid w:val="000E6C71"/>
    <w:rsid w:val="000F39B5"/>
    <w:rsid w:val="000F6554"/>
    <w:rsid w:val="00105699"/>
    <w:rsid w:val="001501CA"/>
    <w:rsid w:val="00157CF8"/>
    <w:rsid w:val="00190BFF"/>
    <w:rsid w:val="001D4563"/>
    <w:rsid w:val="0022106E"/>
    <w:rsid w:val="00260942"/>
    <w:rsid w:val="0027038D"/>
    <w:rsid w:val="002720A5"/>
    <w:rsid w:val="002D3AB2"/>
    <w:rsid w:val="00307BEF"/>
    <w:rsid w:val="00313A52"/>
    <w:rsid w:val="00341A07"/>
    <w:rsid w:val="003A5A64"/>
    <w:rsid w:val="003B33EE"/>
    <w:rsid w:val="00412B7D"/>
    <w:rsid w:val="004214B4"/>
    <w:rsid w:val="0043281E"/>
    <w:rsid w:val="00453C51"/>
    <w:rsid w:val="004B39C3"/>
    <w:rsid w:val="004F2002"/>
    <w:rsid w:val="00504001"/>
    <w:rsid w:val="00513592"/>
    <w:rsid w:val="00522C76"/>
    <w:rsid w:val="00537F4F"/>
    <w:rsid w:val="005433DC"/>
    <w:rsid w:val="0055684E"/>
    <w:rsid w:val="005E1247"/>
    <w:rsid w:val="005E35F2"/>
    <w:rsid w:val="006B5B76"/>
    <w:rsid w:val="006D651F"/>
    <w:rsid w:val="006F48BD"/>
    <w:rsid w:val="006F697D"/>
    <w:rsid w:val="00735F00"/>
    <w:rsid w:val="00742B6E"/>
    <w:rsid w:val="0074715B"/>
    <w:rsid w:val="007778DF"/>
    <w:rsid w:val="00794CC1"/>
    <w:rsid w:val="007C4119"/>
    <w:rsid w:val="007D54CD"/>
    <w:rsid w:val="007F20C2"/>
    <w:rsid w:val="00850549"/>
    <w:rsid w:val="008814D2"/>
    <w:rsid w:val="00894ECC"/>
    <w:rsid w:val="008B42A7"/>
    <w:rsid w:val="008E62F9"/>
    <w:rsid w:val="00907242"/>
    <w:rsid w:val="00980B3A"/>
    <w:rsid w:val="00A00F78"/>
    <w:rsid w:val="00A269E0"/>
    <w:rsid w:val="00A3693E"/>
    <w:rsid w:val="00A541EC"/>
    <w:rsid w:val="00A73133"/>
    <w:rsid w:val="00A75865"/>
    <w:rsid w:val="00A777D2"/>
    <w:rsid w:val="00AB4A74"/>
    <w:rsid w:val="00AF4E43"/>
    <w:rsid w:val="00B546EA"/>
    <w:rsid w:val="00BB7E67"/>
    <w:rsid w:val="00BD05F3"/>
    <w:rsid w:val="00BD298E"/>
    <w:rsid w:val="00C02143"/>
    <w:rsid w:val="00C1012F"/>
    <w:rsid w:val="00C10611"/>
    <w:rsid w:val="00C44256"/>
    <w:rsid w:val="00C76924"/>
    <w:rsid w:val="00C94DA7"/>
    <w:rsid w:val="00CA4AC6"/>
    <w:rsid w:val="00CC22D3"/>
    <w:rsid w:val="00D44FDE"/>
    <w:rsid w:val="00D84960"/>
    <w:rsid w:val="00D969C4"/>
    <w:rsid w:val="00DA23AF"/>
    <w:rsid w:val="00DD2DF4"/>
    <w:rsid w:val="00E551D9"/>
    <w:rsid w:val="00E6481C"/>
    <w:rsid w:val="00F107D2"/>
    <w:rsid w:val="00F23FFA"/>
    <w:rsid w:val="00F257B9"/>
    <w:rsid w:val="00F72DD7"/>
    <w:rsid w:val="00FB5B79"/>
    <w:rsid w:val="00FB678C"/>
    <w:rsid w:val="00FC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701784-2813-4E07-A225-E952917C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038D"/>
    <w:pPr>
      <w:widowControl/>
      <w:spacing w:after="150"/>
      <w:jc w:val="left"/>
    </w:pPr>
    <w:rPr>
      <w:rFonts w:ascii="宋体" w:eastAsia="宋体" w:hAnsi="宋体" w:cs="宋体"/>
      <w:kern w:val="0"/>
      <w:sz w:val="24"/>
      <w:szCs w:val="24"/>
    </w:rPr>
  </w:style>
  <w:style w:type="paragraph" w:customStyle="1" w:styleId="p0">
    <w:name w:val="p0"/>
    <w:basedOn w:val="a"/>
    <w:rsid w:val="00DA23A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94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4ECC"/>
    <w:rPr>
      <w:sz w:val="18"/>
      <w:szCs w:val="18"/>
    </w:rPr>
  </w:style>
  <w:style w:type="paragraph" w:styleId="a5">
    <w:name w:val="footer"/>
    <w:basedOn w:val="a"/>
    <w:link w:val="Char0"/>
    <w:uiPriority w:val="99"/>
    <w:unhideWhenUsed/>
    <w:rsid w:val="00894ECC"/>
    <w:pPr>
      <w:tabs>
        <w:tab w:val="center" w:pos="4153"/>
        <w:tab w:val="right" w:pos="8306"/>
      </w:tabs>
      <w:snapToGrid w:val="0"/>
      <w:jc w:val="left"/>
    </w:pPr>
    <w:rPr>
      <w:sz w:val="18"/>
      <w:szCs w:val="18"/>
    </w:rPr>
  </w:style>
  <w:style w:type="character" w:customStyle="1" w:styleId="Char0">
    <w:name w:val="页脚 Char"/>
    <w:basedOn w:val="a0"/>
    <w:link w:val="a5"/>
    <w:uiPriority w:val="99"/>
    <w:rsid w:val="00894ECC"/>
    <w:rPr>
      <w:sz w:val="18"/>
      <w:szCs w:val="18"/>
    </w:rPr>
  </w:style>
  <w:style w:type="paragraph" w:styleId="a6">
    <w:name w:val="List Paragraph"/>
    <w:basedOn w:val="a"/>
    <w:uiPriority w:val="99"/>
    <w:qFormat/>
    <w:rsid w:val="00A269E0"/>
    <w:pPr>
      <w:ind w:firstLineChars="200" w:firstLine="420"/>
    </w:pPr>
    <w:rPr>
      <w:rFonts w:ascii="Calibri" w:eastAsia="宋体" w:hAnsi="Calibri" w:cs="Calibri"/>
      <w:szCs w:val="21"/>
    </w:rPr>
  </w:style>
  <w:style w:type="paragraph" w:customStyle="1" w:styleId="DecimalAligned">
    <w:name w:val="Decimal Aligned"/>
    <w:basedOn w:val="a"/>
    <w:uiPriority w:val="99"/>
    <w:rsid w:val="00A269E0"/>
    <w:pPr>
      <w:widowControl/>
      <w:tabs>
        <w:tab w:val="decimal" w:pos="360"/>
      </w:tabs>
      <w:spacing w:after="200" w:line="276" w:lineRule="auto"/>
      <w:jc w:val="left"/>
    </w:pPr>
    <w:rPr>
      <w:rFonts w:ascii="Calibri" w:eastAsia="宋体" w:hAnsi="Calibri" w:cs="Calibri"/>
      <w:kern w:val="0"/>
      <w:sz w:val="22"/>
    </w:rPr>
  </w:style>
  <w:style w:type="character" w:styleId="a7">
    <w:name w:val="Subtle Emphasis"/>
    <w:uiPriority w:val="99"/>
    <w:qFormat/>
    <w:rsid w:val="00A269E0"/>
    <w:rPr>
      <w:i/>
      <w:color w:val="000000"/>
    </w:rPr>
  </w:style>
  <w:style w:type="table" w:styleId="a8">
    <w:name w:val="Table Grid"/>
    <w:basedOn w:val="a1"/>
    <w:uiPriority w:val="39"/>
    <w:rsid w:val="0098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72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798957">
      <w:bodyDiv w:val="1"/>
      <w:marLeft w:val="0"/>
      <w:marRight w:val="0"/>
      <w:marTop w:val="0"/>
      <w:marBottom w:val="0"/>
      <w:divBdr>
        <w:top w:val="none" w:sz="0" w:space="0" w:color="auto"/>
        <w:left w:val="none" w:sz="0" w:space="0" w:color="auto"/>
        <w:bottom w:val="none" w:sz="0" w:space="0" w:color="auto"/>
        <w:right w:val="none" w:sz="0" w:space="0" w:color="auto"/>
      </w:divBdr>
    </w:div>
    <w:div w:id="1025449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827">
          <w:marLeft w:val="0"/>
          <w:marRight w:val="0"/>
          <w:marTop w:val="300"/>
          <w:marBottom w:val="0"/>
          <w:divBdr>
            <w:top w:val="none" w:sz="0" w:space="0" w:color="auto"/>
            <w:left w:val="none" w:sz="0" w:space="0" w:color="auto"/>
            <w:bottom w:val="none" w:sz="0" w:space="0" w:color="auto"/>
            <w:right w:val="none" w:sz="0" w:space="0" w:color="auto"/>
          </w:divBdr>
          <w:divsChild>
            <w:div w:id="1372920973">
              <w:marLeft w:val="0"/>
              <w:marRight w:val="0"/>
              <w:marTop w:val="0"/>
              <w:marBottom w:val="0"/>
              <w:divBdr>
                <w:top w:val="none" w:sz="0" w:space="0" w:color="auto"/>
                <w:left w:val="none" w:sz="0" w:space="0" w:color="auto"/>
                <w:bottom w:val="none" w:sz="0" w:space="0" w:color="auto"/>
                <w:right w:val="none" w:sz="0" w:space="0" w:color="auto"/>
              </w:divBdr>
              <w:divsChild>
                <w:div w:id="599531688">
                  <w:marLeft w:val="0"/>
                  <w:marRight w:val="0"/>
                  <w:marTop w:val="0"/>
                  <w:marBottom w:val="0"/>
                  <w:divBdr>
                    <w:top w:val="none" w:sz="0" w:space="0" w:color="auto"/>
                    <w:left w:val="none" w:sz="0" w:space="0" w:color="auto"/>
                    <w:bottom w:val="none" w:sz="0" w:space="0" w:color="auto"/>
                    <w:right w:val="none" w:sz="0" w:space="0" w:color="auto"/>
                  </w:divBdr>
                  <w:divsChild>
                    <w:div w:id="396510267">
                      <w:marLeft w:val="0"/>
                      <w:marRight w:val="0"/>
                      <w:marTop w:val="0"/>
                      <w:marBottom w:val="0"/>
                      <w:divBdr>
                        <w:top w:val="none" w:sz="0" w:space="0" w:color="auto"/>
                        <w:left w:val="none" w:sz="0" w:space="0" w:color="auto"/>
                        <w:bottom w:val="none" w:sz="0" w:space="0" w:color="auto"/>
                        <w:right w:val="none" w:sz="0" w:space="0" w:color="auto"/>
                      </w:divBdr>
                      <w:divsChild>
                        <w:div w:id="303967986">
                          <w:marLeft w:val="0"/>
                          <w:marRight w:val="0"/>
                          <w:marTop w:val="0"/>
                          <w:marBottom w:val="0"/>
                          <w:divBdr>
                            <w:top w:val="none" w:sz="0" w:space="0" w:color="auto"/>
                            <w:left w:val="none" w:sz="0" w:space="0" w:color="auto"/>
                            <w:bottom w:val="none" w:sz="0" w:space="0" w:color="auto"/>
                            <w:right w:val="none" w:sz="0" w:space="0" w:color="auto"/>
                          </w:divBdr>
                          <w:divsChild>
                            <w:div w:id="966541921">
                              <w:marLeft w:val="0"/>
                              <w:marRight w:val="0"/>
                              <w:marTop w:val="0"/>
                              <w:marBottom w:val="0"/>
                              <w:divBdr>
                                <w:top w:val="none" w:sz="0" w:space="0" w:color="auto"/>
                                <w:left w:val="none" w:sz="0" w:space="0" w:color="auto"/>
                                <w:bottom w:val="none" w:sz="0" w:space="0" w:color="auto"/>
                                <w:right w:val="none" w:sz="0" w:space="0" w:color="auto"/>
                              </w:divBdr>
                              <w:divsChild>
                                <w:div w:id="1249578009">
                                  <w:marLeft w:val="0"/>
                                  <w:marRight w:val="0"/>
                                  <w:marTop w:val="0"/>
                                  <w:marBottom w:val="0"/>
                                  <w:divBdr>
                                    <w:top w:val="none" w:sz="0" w:space="0" w:color="auto"/>
                                    <w:left w:val="none" w:sz="0" w:space="0" w:color="auto"/>
                                    <w:bottom w:val="none" w:sz="0" w:space="0" w:color="auto"/>
                                    <w:right w:val="none" w:sz="0" w:space="0" w:color="auto"/>
                                  </w:divBdr>
                                  <w:divsChild>
                                    <w:div w:id="1206870838">
                                      <w:marLeft w:val="1"/>
                                      <w:marRight w:val="1"/>
                                      <w:marTop w:val="0"/>
                                      <w:marBottom w:val="600"/>
                                      <w:divBdr>
                                        <w:top w:val="none" w:sz="0" w:space="0" w:color="auto"/>
                                        <w:left w:val="none" w:sz="0" w:space="0" w:color="auto"/>
                                        <w:bottom w:val="none" w:sz="0" w:space="0" w:color="auto"/>
                                        <w:right w:val="none" w:sz="0" w:space="0" w:color="auto"/>
                                      </w:divBdr>
                                    </w:div>
                                    <w:div w:id="905453210">
                                      <w:marLeft w:val="1"/>
                                      <w:marRight w:val="1"/>
                                      <w:marTop w:val="0"/>
                                      <w:marBottom w:val="600"/>
                                      <w:divBdr>
                                        <w:top w:val="none" w:sz="0" w:space="0" w:color="auto"/>
                                        <w:left w:val="none" w:sz="0" w:space="0" w:color="auto"/>
                                        <w:bottom w:val="none" w:sz="0" w:space="0" w:color="auto"/>
                                        <w:right w:val="none" w:sz="0" w:space="0" w:color="auto"/>
                                      </w:divBdr>
                                    </w:div>
                                    <w:div w:id="418715545">
                                      <w:marLeft w:val="1"/>
                                      <w:marRight w:val="1"/>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7645">
      <w:bodyDiv w:val="1"/>
      <w:marLeft w:val="0"/>
      <w:marRight w:val="0"/>
      <w:marTop w:val="0"/>
      <w:marBottom w:val="0"/>
      <w:divBdr>
        <w:top w:val="none" w:sz="0" w:space="0" w:color="auto"/>
        <w:left w:val="none" w:sz="0" w:space="0" w:color="auto"/>
        <w:bottom w:val="none" w:sz="0" w:space="0" w:color="auto"/>
        <w:right w:val="none" w:sz="0" w:space="0" w:color="auto"/>
      </w:divBdr>
    </w:div>
    <w:div w:id="1397898122">
      <w:bodyDiv w:val="1"/>
      <w:marLeft w:val="0"/>
      <w:marRight w:val="0"/>
      <w:marTop w:val="0"/>
      <w:marBottom w:val="0"/>
      <w:divBdr>
        <w:top w:val="none" w:sz="0" w:space="0" w:color="auto"/>
        <w:left w:val="none" w:sz="0" w:space="0" w:color="auto"/>
        <w:bottom w:val="none" w:sz="0" w:space="0" w:color="auto"/>
        <w:right w:val="none" w:sz="0" w:space="0" w:color="auto"/>
      </w:divBdr>
    </w:div>
    <w:div w:id="1404449565">
      <w:bodyDiv w:val="1"/>
      <w:marLeft w:val="0"/>
      <w:marRight w:val="0"/>
      <w:marTop w:val="0"/>
      <w:marBottom w:val="0"/>
      <w:divBdr>
        <w:top w:val="none" w:sz="0" w:space="0" w:color="auto"/>
        <w:left w:val="none" w:sz="0" w:space="0" w:color="auto"/>
        <w:bottom w:val="none" w:sz="0" w:space="0" w:color="auto"/>
        <w:right w:val="none" w:sz="0" w:space="0" w:color="auto"/>
      </w:divBdr>
      <w:divsChild>
        <w:div w:id="1277174408">
          <w:marLeft w:val="0"/>
          <w:marRight w:val="0"/>
          <w:marTop w:val="300"/>
          <w:marBottom w:val="0"/>
          <w:divBdr>
            <w:top w:val="none" w:sz="0" w:space="0" w:color="auto"/>
            <w:left w:val="none" w:sz="0" w:space="0" w:color="auto"/>
            <w:bottom w:val="none" w:sz="0" w:space="0" w:color="auto"/>
            <w:right w:val="none" w:sz="0" w:space="0" w:color="auto"/>
          </w:divBdr>
          <w:divsChild>
            <w:div w:id="831260975">
              <w:marLeft w:val="0"/>
              <w:marRight w:val="0"/>
              <w:marTop w:val="0"/>
              <w:marBottom w:val="0"/>
              <w:divBdr>
                <w:top w:val="none" w:sz="0" w:space="0" w:color="auto"/>
                <w:left w:val="none" w:sz="0" w:space="0" w:color="auto"/>
                <w:bottom w:val="none" w:sz="0" w:space="0" w:color="auto"/>
                <w:right w:val="none" w:sz="0" w:space="0" w:color="auto"/>
              </w:divBdr>
              <w:divsChild>
                <w:div w:id="1471633766">
                  <w:marLeft w:val="0"/>
                  <w:marRight w:val="0"/>
                  <w:marTop w:val="0"/>
                  <w:marBottom w:val="0"/>
                  <w:divBdr>
                    <w:top w:val="none" w:sz="0" w:space="0" w:color="auto"/>
                    <w:left w:val="none" w:sz="0" w:space="0" w:color="auto"/>
                    <w:bottom w:val="none" w:sz="0" w:space="0" w:color="auto"/>
                    <w:right w:val="none" w:sz="0" w:space="0" w:color="auto"/>
                  </w:divBdr>
                  <w:divsChild>
                    <w:div w:id="424348632">
                      <w:marLeft w:val="0"/>
                      <w:marRight w:val="0"/>
                      <w:marTop w:val="0"/>
                      <w:marBottom w:val="0"/>
                      <w:divBdr>
                        <w:top w:val="none" w:sz="0" w:space="0" w:color="auto"/>
                        <w:left w:val="none" w:sz="0" w:space="0" w:color="auto"/>
                        <w:bottom w:val="none" w:sz="0" w:space="0" w:color="auto"/>
                        <w:right w:val="none" w:sz="0" w:space="0" w:color="auto"/>
                      </w:divBdr>
                      <w:divsChild>
                        <w:div w:id="135421272">
                          <w:marLeft w:val="0"/>
                          <w:marRight w:val="0"/>
                          <w:marTop w:val="0"/>
                          <w:marBottom w:val="0"/>
                          <w:divBdr>
                            <w:top w:val="none" w:sz="0" w:space="0" w:color="auto"/>
                            <w:left w:val="none" w:sz="0" w:space="0" w:color="auto"/>
                            <w:bottom w:val="none" w:sz="0" w:space="0" w:color="auto"/>
                            <w:right w:val="none" w:sz="0" w:space="0" w:color="auto"/>
                          </w:divBdr>
                          <w:divsChild>
                            <w:div w:id="2081175129">
                              <w:marLeft w:val="0"/>
                              <w:marRight w:val="0"/>
                              <w:marTop w:val="0"/>
                              <w:marBottom w:val="0"/>
                              <w:divBdr>
                                <w:top w:val="none" w:sz="0" w:space="0" w:color="auto"/>
                                <w:left w:val="none" w:sz="0" w:space="0" w:color="auto"/>
                                <w:bottom w:val="none" w:sz="0" w:space="0" w:color="auto"/>
                                <w:right w:val="none" w:sz="0" w:space="0" w:color="auto"/>
                              </w:divBdr>
                              <w:divsChild>
                                <w:div w:id="910311915">
                                  <w:marLeft w:val="0"/>
                                  <w:marRight w:val="0"/>
                                  <w:marTop w:val="0"/>
                                  <w:marBottom w:val="0"/>
                                  <w:divBdr>
                                    <w:top w:val="none" w:sz="0" w:space="0" w:color="auto"/>
                                    <w:left w:val="none" w:sz="0" w:space="0" w:color="auto"/>
                                    <w:bottom w:val="none" w:sz="0" w:space="0" w:color="auto"/>
                                    <w:right w:val="none" w:sz="0" w:space="0" w:color="auto"/>
                                  </w:divBdr>
                                  <w:divsChild>
                                    <w:div w:id="1455950199">
                                      <w:marLeft w:val="1"/>
                                      <w:marRight w:val="1"/>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a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32088507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D5B63-FB8B-448D-B06B-F96C043F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dc:creator>
  <cp:keywords/>
  <dc:description/>
  <cp:lastModifiedBy>修改</cp:lastModifiedBy>
  <cp:revision>29</cp:revision>
  <cp:lastPrinted>2016-09-07T07:27:00Z</cp:lastPrinted>
  <dcterms:created xsi:type="dcterms:W3CDTF">2016-09-19T01:31:00Z</dcterms:created>
  <dcterms:modified xsi:type="dcterms:W3CDTF">2016-10-17T01:05:00Z</dcterms:modified>
</cp:coreProperties>
</file>