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pPr>
      <w:r>
        <w:rPr>
          <w:rFonts w:hint="eastAsia"/>
        </w:rPr>
        <w:t>中原工学院学术型硕士研究生培养方案</w:t>
      </w:r>
    </w:p>
    <w:p>
      <w:pPr>
        <w:pStyle w:val="3"/>
        <w:spacing w:before="240" w:beforeLines="100" w:line="500" w:lineRule="exact"/>
        <w:ind w:firstLine="0"/>
        <w:rPr>
          <w:szCs w:val="28"/>
        </w:rPr>
      </w:pPr>
      <w:r>
        <w:rPr>
          <w:rFonts w:hint="eastAsia"/>
          <w:szCs w:val="28"/>
        </w:rPr>
        <w:t>专业名称：材料科学与工程      　专业代码：0805</w:t>
      </w:r>
    </w:p>
    <w:p/>
    <w:p>
      <w:pPr>
        <w:pStyle w:val="4"/>
        <w:numPr>
          <w:ilvl w:val="0"/>
          <w:numId w:val="1"/>
        </w:numPr>
        <w:spacing w:line="500" w:lineRule="exact"/>
        <w:ind w:left="601" w:hanging="601"/>
        <w:rPr>
          <w:rFonts w:eastAsia="宋体"/>
          <w:kern w:val="0"/>
          <w:sz w:val="28"/>
          <w:szCs w:val="28"/>
        </w:rPr>
      </w:pPr>
      <w:r>
        <w:rPr>
          <w:rFonts w:hint="eastAsia" w:eastAsia="宋体"/>
          <w:kern w:val="0"/>
          <w:sz w:val="28"/>
          <w:szCs w:val="28"/>
        </w:rPr>
        <w:t>培养目标</w:t>
      </w:r>
    </w:p>
    <w:p>
      <w:pPr>
        <w:spacing w:line="500" w:lineRule="exact"/>
        <w:ind w:firstLine="560" w:firstLineChars="200"/>
        <w:rPr>
          <w:sz w:val="28"/>
          <w:szCs w:val="28"/>
        </w:rPr>
      </w:pPr>
      <w:r>
        <w:rPr>
          <w:rFonts w:hint="eastAsia"/>
          <w:sz w:val="28"/>
          <w:szCs w:val="28"/>
        </w:rPr>
        <w:t>本学位授权点研究生应具有坚定正确的政治方向，热爱祖国，拥护党的领导，遵纪守法，有良好的道德品质、心理素质和健康体魄；具有坚实和系统的材料物理理论和材料化学理论基础和专业知识，了解本学科的发展方向，能在各种材料的制备、加工成型、材料结构与性能等领域从事科学研究与教学、技术开发、工艺和设备设计、技术改造及经营管理等方面工作；具备从事本专业前沿性科学研究和解决工程应用问题的能力、取得具有学术意义或应用价值成果；掌握一门外国语，能较熟练的运用外语阅读本专业书刊资料，并具有较强的语言交流与读写能力。具有较强的从事本学科领域高层次的教学与科研工作的能力或独立担负专门工程技术工作的能力。</w:t>
      </w:r>
    </w:p>
    <w:p>
      <w:pPr>
        <w:pStyle w:val="4"/>
        <w:spacing w:line="500" w:lineRule="exact"/>
        <w:rPr>
          <w:rFonts w:eastAsia="宋体"/>
          <w:sz w:val="28"/>
          <w:szCs w:val="28"/>
        </w:rPr>
      </w:pPr>
      <w:r>
        <w:rPr>
          <w:rFonts w:hint="eastAsia" w:eastAsia="宋体"/>
          <w:sz w:val="28"/>
          <w:szCs w:val="28"/>
        </w:rPr>
        <w:t>二、研究方向</w:t>
      </w:r>
    </w:p>
    <w:p>
      <w:pPr>
        <w:spacing w:line="500" w:lineRule="exact"/>
        <w:ind w:firstLine="560" w:firstLineChars="200"/>
        <w:rPr>
          <w:color w:val="000000"/>
          <w:sz w:val="28"/>
          <w:szCs w:val="28"/>
        </w:rPr>
      </w:pPr>
      <w:r>
        <w:rPr>
          <w:rFonts w:hint="eastAsia"/>
          <w:color w:val="000000"/>
          <w:sz w:val="28"/>
          <w:szCs w:val="28"/>
        </w:rPr>
        <w:t>1、功能盐材料与工艺技术</w:t>
      </w:r>
    </w:p>
    <w:p>
      <w:pPr>
        <w:spacing w:line="500" w:lineRule="exact"/>
        <w:ind w:firstLine="560" w:firstLineChars="200"/>
        <w:rPr>
          <w:color w:val="000000"/>
          <w:sz w:val="28"/>
          <w:szCs w:val="28"/>
        </w:rPr>
      </w:pPr>
      <w:r>
        <w:rPr>
          <w:rFonts w:hint="eastAsia"/>
          <w:color w:val="000000"/>
          <w:sz w:val="28"/>
          <w:szCs w:val="28"/>
        </w:rPr>
        <w:t>2、超硬材料与加工技术</w:t>
      </w:r>
    </w:p>
    <w:p>
      <w:pPr>
        <w:spacing w:line="500" w:lineRule="exact"/>
        <w:ind w:firstLine="560" w:firstLineChars="200"/>
        <w:rPr>
          <w:color w:val="000000"/>
          <w:sz w:val="28"/>
          <w:szCs w:val="28"/>
        </w:rPr>
      </w:pPr>
      <w:r>
        <w:rPr>
          <w:rFonts w:hint="eastAsia"/>
          <w:color w:val="000000"/>
          <w:sz w:val="28"/>
          <w:szCs w:val="28"/>
        </w:rPr>
        <w:t>3、纳米功能材料与器件</w:t>
      </w:r>
    </w:p>
    <w:p>
      <w:pPr>
        <w:pStyle w:val="4"/>
        <w:spacing w:line="500" w:lineRule="exact"/>
        <w:rPr>
          <w:rFonts w:eastAsia="宋体"/>
          <w:sz w:val="28"/>
          <w:szCs w:val="28"/>
        </w:rPr>
      </w:pPr>
      <w:r>
        <w:rPr>
          <w:rFonts w:hint="eastAsia" w:eastAsia="宋体"/>
          <w:sz w:val="28"/>
          <w:szCs w:val="28"/>
        </w:rPr>
        <w:t>三、学习年限</w:t>
      </w:r>
    </w:p>
    <w:p>
      <w:pPr>
        <w:spacing w:line="500" w:lineRule="exact"/>
        <w:ind w:firstLine="560" w:firstLineChars="200"/>
        <w:rPr>
          <w:color w:val="000000"/>
          <w:sz w:val="28"/>
          <w:szCs w:val="28"/>
        </w:rPr>
      </w:pPr>
      <w:r>
        <w:rPr>
          <w:rFonts w:hint="eastAsia"/>
          <w:color w:val="000000"/>
          <w:sz w:val="28"/>
          <w:szCs w:val="28"/>
        </w:rPr>
        <w:t>全日制学术型硕士研究生学制为3年，最长学习年限为6年。</w:t>
      </w:r>
    </w:p>
    <w:p>
      <w:pPr>
        <w:pStyle w:val="4"/>
        <w:spacing w:line="500" w:lineRule="exact"/>
        <w:rPr>
          <w:rFonts w:eastAsia="宋体"/>
          <w:sz w:val="28"/>
          <w:szCs w:val="28"/>
        </w:rPr>
      </w:pPr>
      <w:r>
        <w:rPr>
          <w:rFonts w:hint="eastAsia" w:eastAsia="宋体"/>
          <w:sz w:val="28"/>
          <w:szCs w:val="28"/>
        </w:rPr>
        <w:t>四、课程设置</w:t>
      </w:r>
    </w:p>
    <w:p>
      <w:pPr>
        <w:adjustRightInd w:val="0"/>
        <w:snapToGrid w:val="0"/>
        <w:spacing w:line="500" w:lineRule="exact"/>
        <w:ind w:firstLine="560" w:firstLineChars="200"/>
        <w:rPr>
          <w:rFonts w:cs="宋体"/>
          <w:sz w:val="28"/>
          <w:szCs w:val="28"/>
        </w:rPr>
      </w:pPr>
      <w:r>
        <w:rPr>
          <w:rFonts w:hint="eastAsia" w:cs="宋体"/>
          <w:kern w:val="0"/>
          <w:sz w:val="28"/>
          <w:szCs w:val="28"/>
        </w:rPr>
        <w:t>研究生</w:t>
      </w:r>
      <w:r>
        <w:rPr>
          <w:rFonts w:hint="eastAsia"/>
          <w:kern w:val="0"/>
          <w:sz w:val="28"/>
          <w:szCs w:val="28"/>
        </w:rPr>
        <w:t>课程学习实行学分制，研究生最低修满24学分，最高一般不超过28学分。</w:t>
      </w:r>
      <w:r>
        <w:rPr>
          <w:rFonts w:hint="eastAsia"/>
          <w:sz w:val="28"/>
          <w:szCs w:val="28"/>
        </w:rPr>
        <w:t>研究生除修满课程学习要求的学分外，还须修满必修实践环节的3学分。</w:t>
      </w:r>
      <w:r>
        <w:rPr>
          <w:rFonts w:hint="eastAsia" w:cs="宋体"/>
          <w:sz w:val="28"/>
          <w:szCs w:val="28"/>
        </w:rPr>
        <w:t>实践环节未修满3学分者，不得申请学位论文答辩。</w:t>
      </w:r>
    </w:p>
    <w:tbl>
      <w:tblPr>
        <w:tblStyle w:val="11"/>
        <w:tblW w:w="8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2"/>
        <w:gridCol w:w="2891"/>
        <w:gridCol w:w="790"/>
        <w:gridCol w:w="750"/>
        <w:gridCol w:w="2047"/>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343" w:type="dxa"/>
            <w:gridSpan w:val="2"/>
            <w:vAlign w:val="center"/>
          </w:tcPr>
          <w:p>
            <w:pPr>
              <w:spacing w:line="440" w:lineRule="exact"/>
              <w:jc w:val="center"/>
              <w:rPr>
                <w:b/>
                <w:sz w:val="24"/>
              </w:rPr>
            </w:pPr>
            <w:r>
              <w:rPr>
                <w:rFonts w:hint="eastAsia"/>
                <w:b/>
                <w:sz w:val="24"/>
              </w:rPr>
              <w:t>类别</w:t>
            </w:r>
          </w:p>
        </w:tc>
        <w:tc>
          <w:tcPr>
            <w:tcW w:w="2891" w:type="dxa"/>
            <w:vAlign w:val="center"/>
          </w:tcPr>
          <w:p>
            <w:pPr>
              <w:spacing w:line="440" w:lineRule="exact"/>
              <w:jc w:val="center"/>
              <w:rPr>
                <w:b/>
                <w:sz w:val="24"/>
              </w:rPr>
            </w:pPr>
            <w:r>
              <w:rPr>
                <w:rFonts w:hint="eastAsia"/>
                <w:b/>
                <w:sz w:val="24"/>
              </w:rPr>
              <w:t>课程名称</w:t>
            </w:r>
          </w:p>
        </w:tc>
        <w:tc>
          <w:tcPr>
            <w:tcW w:w="790" w:type="dxa"/>
            <w:vAlign w:val="center"/>
          </w:tcPr>
          <w:p>
            <w:pPr>
              <w:spacing w:line="440" w:lineRule="exact"/>
              <w:jc w:val="center"/>
              <w:rPr>
                <w:b/>
                <w:sz w:val="24"/>
              </w:rPr>
            </w:pPr>
            <w:r>
              <w:rPr>
                <w:rFonts w:hint="eastAsia"/>
                <w:b/>
                <w:sz w:val="24"/>
              </w:rPr>
              <w:t>学时</w:t>
            </w:r>
          </w:p>
        </w:tc>
        <w:tc>
          <w:tcPr>
            <w:tcW w:w="750" w:type="dxa"/>
            <w:vAlign w:val="center"/>
          </w:tcPr>
          <w:p>
            <w:pPr>
              <w:spacing w:line="440" w:lineRule="exact"/>
              <w:jc w:val="center"/>
              <w:rPr>
                <w:b/>
                <w:sz w:val="24"/>
              </w:rPr>
            </w:pPr>
            <w:r>
              <w:rPr>
                <w:rFonts w:hint="eastAsia"/>
                <w:b/>
                <w:sz w:val="24"/>
              </w:rPr>
              <w:t>学分</w:t>
            </w:r>
          </w:p>
        </w:tc>
        <w:tc>
          <w:tcPr>
            <w:tcW w:w="2047" w:type="dxa"/>
            <w:vAlign w:val="center"/>
          </w:tcPr>
          <w:p>
            <w:pPr>
              <w:spacing w:line="440" w:lineRule="exact"/>
              <w:jc w:val="center"/>
              <w:rPr>
                <w:b/>
                <w:sz w:val="24"/>
              </w:rPr>
            </w:pPr>
            <w:r>
              <w:rPr>
                <w:rFonts w:hint="eastAsia"/>
                <w:b/>
                <w:sz w:val="24"/>
              </w:rPr>
              <w:t>开课部门</w:t>
            </w:r>
          </w:p>
        </w:tc>
        <w:tc>
          <w:tcPr>
            <w:tcW w:w="656" w:type="dxa"/>
            <w:vAlign w:val="center"/>
          </w:tcPr>
          <w:p>
            <w:pPr>
              <w:spacing w:line="440" w:lineRule="exact"/>
              <w:jc w:val="center"/>
              <w:rPr>
                <w:b/>
                <w:sz w:val="24"/>
              </w:rPr>
            </w:pPr>
            <w:r>
              <w:rPr>
                <w:rFonts w:hint="eastAsia"/>
                <w:b/>
                <w:sz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restart"/>
            <w:textDirection w:val="tbRlV"/>
            <w:vAlign w:val="center"/>
          </w:tcPr>
          <w:p>
            <w:pPr>
              <w:ind w:left="113" w:right="113"/>
              <w:jc w:val="center"/>
              <w:rPr>
                <w:sz w:val="24"/>
              </w:rPr>
            </w:pPr>
            <w:r>
              <w:rPr>
                <w:rFonts w:hint="eastAsia"/>
                <w:sz w:val="24"/>
              </w:rPr>
              <w:t>学位课（必修课）</w:t>
            </w:r>
          </w:p>
        </w:tc>
        <w:tc>
          <w:tcPr>
            <w:tcW w:w="612" w:type="dxa"/>
            <w:vMerge w:val="restart"/>
            <w:vAlign w:val="center"/>
          </w:tcPr>
          <w:p>
            <w:pPr>
              <w:spacing w:line="440" w:lineRule="exact"/>
              <w:jc w:val="center"/>
              <w:rPr>
                <w:sz w:val="24"/>
              </w:rPr>
            </w:pPr>
            <w:r>
              <w:rPr>
                <w:rFonts w:hint="eastAsia"/>
                <w:sz w:val="24"/>
              </w:rPr>
              <w:t>公</w:t>
            </w:r>
          </w:p>
          <w:p>
            <w:pPr>
              <w:spacing w:line="440" w:lineRule="exact"/>
              <w:jc w:val="center"/>
              <w:rPr>
                <w:sz w:val="24"/>
              </w:rPr>
            </w:pPr>
            <w:r>
              <w:rPr>
                <w:rFonts w:hint="eastAsia"/>
                <w:sz w:val="24"/>
              </w:rPr>
              <w:t>共</w:t>
            </w:r>
          </w:p>
          <w:p>
            <w:pPr>
              <w:spacing w:line="440" w:lineRule="exact"/>
              <w:jc w:val="center"/>
              <w:rPr>
                <w:sz w:val="24"/>
              </w:rPr>
            </w:pPr>
            <w:r>
              <w:rPr>
                <w:rFonts w:hint="eastAsia"/>
                <w:sz w:val="24"/>
              </w:rPr>
              <w:t>课</w:t>
            </w:r>
          </w:p>
        </w:tc>
        <w:tc>
          <w:tcPr>
            <w:tcW w:w="2891" w:type="dxa"/>
            <w:vAlign w:val="center"/>
          </w:tcPr>
          <w:p>
            <w:pPr>
              <w:snapToGrid w:val="0"/>
              <w:jc w:val="left"/>
              <w:rPr>
                <w:sz w:val="24"/>
              </w:rPr>
            </w:pPr>
            <w:r>
              <w:rPr>
                <w:rFonts w:hint="eastAsia"/>
                <w:sz w:val="24"/>
              </w:rPr>
              <w:t>中国特色社会主义理论与实践研究</w:t>
            </w:r>
          </w:p>
        </w:tc>
        <w:tc>
          <w:tcPr>
            <w:tcW w:w="790" w:type="dxa"/>
            <w:vAlign w:val="center"/>
          </w:tcPr>
          <w:p>
            <w:pPr>
              <w:snapToGrid w:val="0"/>
              <w:jc w:val="center"/>
              <w:rPr>
                <w:sz w:val="24"/>
              </w:rPr>
            </w:pPr>
            <w:r>
              <w:rPr>
                <w:rFonts w:hint="eastAsia"/>
                <w:sz w:val="24"/>
              </w:rPr>
              <w:t>36</w:t>
            </w:r>
          </w:p>
        </w:tc>
        <w:tc>
          <w:tcPr>
            <w:tcW w:w="750" w:type="dxa"/>
            <w:vAlign w:val="center"/>
          </w:tcPr>
          <w:p>
            <w:pPr>
              <w:snapToGrid w:val="0"/>
              <w:jc w:val="center"/>
              <w:rPr>
                <w:sz w:val="24"/>
              </w:rPr>
            </w:pPr>
            <w:r>
              <w:rPr>
                <w:rFonts w:hint="eastAsia"/>
                <w:sz w:val="24"/>
              </w:rPr>
              <w:t>2</w:t>
            </w:r>
          </w:p>
        </w:tc>
        <w:tc>
          <w:tcPr>
            <w:tcW w:w="2047" w:type="dxa"/>
            <w:vAlign w:val="center"/>
          </w:tcPr>
          <w:p>
            <w:pPr>
              <w:snapToGrid w:val="0"/>
              <w:jc w:val="center"/>
              <w:rPr>
                <w:sz w:val="24"/>
              </w:rPr>
            </w:pPr>
            <w:r>
              <w:rPr>
                <w:rFonts w:hint="eastAsia"/>
                <w:sz w:val="24"/>
              </w:rPr>
              <w:t>马克思主义学院</w:t>
            </w:r>
          </w:p>
        </w:tc>
        <w:tc>
          <w:tcPr>
            <w:tcW w:w="656" w:type="dxa"/>
            <w:vAlign w:val="center"/>
          </w:tcPr>
          <w:p>
            <w:pPr>
              <w:snapToGrid w:val="0"/>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textDirection w:val="tbRlV"/>
            <w:vAlign w:val="center"/>
          </w:tcPr>
          <w:p>
            <w:pPr>
              <w:spacing w:line="440" w:lineRule="exact"/>
              <w:ind w:left="113" w:right="113"/>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napToGrid w:val="0"/>
              <w:jc w:val="left"/>
              <w:rPr>
                <w:color w:val="FF0000"/>
                <w:sz w:val="24"/>
              </w:rPr>
            </w:pPr>
            <w:r>
              <w:rPr>
                <w:rFonts w:hint="eastAsia"/>
                <w:sz w:val="24"/>
              </w:rPr>
              <w:t>自然辩证法概论</w:t>
            </w:r>
          </w:p>
        </w:tc>
        <w:tc>
          <w:tcPr>
            <w:tcW w:w="790" w:type="dxa"/>
            <w:vAlign w:val="center"/>
          </w:tcPr>
          <w:p>
            <w:pPr>
              <w:snapToGrid w:val="0"/>
              <w:jc w:val="center"/>
              <w:rPr>
                <w:sz w:val="24"/>
              </w:rPr>
            </w:pPr>
            <w:r>
              <w:rPr>
                <w:rFonts w:hint="eastAsia"/>
                <w:sz w:val="24"/>
              </w:rPr>
              <w:t>18</w:t>
            </w:r>
          </w:p>
        </w:tc>
        <w:tc>
          <w:tcPr>
            <w:tcW w:w="750" w:type="dxa"/>
            <w:vAlign w:val="center"/>
          </w:tcPr>
          <w:p>
            <w:pPr>
              <w:snapToGrid w:val="0"/>
              <w:jc w:val="center"/>
              <w:rPr>
                <w:sz w:val="24"/>
              </w:rPr>
            </w:pPr>
            <w:r>
              <w:rPr>
                <w:rFonts w:hint="eastAsia"/>
                <w:sz w:val="24"/>
              </w:rPr>
              <w:t>1</w:t>
            </w:r>
          </w:p>
        </w:tc>
        <w:tc>
          <w:tcPr>
            <w:tcW w:w="2047" w:type="dxa"/>
            <w:vAlign w:val="center"/>
          </w:tcPr>
          <w:p>
            <w:pPr>
              <w:snapToGrid w:val="0"/>
              <w:jc w:val="center"/>
              <w:rPr>
                <w:sz w:val="24"/>
              </w:rPr>
            </w:pPr>
            <w:r>
              <w:rPr>
                <w:rFonts w:hint="eastAsia"/>
                <w:sz w:val="24"/>
              </w:rPr>
              <w:t>马克思主义学院</w:t>
            </w:r>
          </w:p>
        </w:tc>
        <w:tc>
          <w:tcPr>
            <w:tcW w:w="656" w:type="dxa"/>
            <w:vAlign w:val="center"/>
          </w:tcPr>
          <w:p>
            <w:pPr>
              <w:snapToGrid w:val="0"/>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vAlign w:val="center"/>
          </w:tcPr>
          <w:p>
            <w:pPr>
              <w:spacing w:line="440" w:lineRule="exact"/>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数值分析</w:t>
            </w:r>
          </w:p>
        </w:tc>
        <w:tc>
          <w:tcPr>
            <w:tcW w:w="790" w:type="dxa"/>
            <w:vAlign w:val="center"/>
          </w:tcPr>
          <w:p>
            <w:pPr>
              <w:spacing w:line="440" w:lineRule="exact"/>
              <w:jc w:val="center"/>
              <w:rPr>
                <w:sz w:val="24"/>
              </w:rPr>
            </w:pPr>
            <w:r>
              <w:rPr>
                <w:rFonts w:hint="eastAsia"/>
                <w:sz w:val="24"/>
              </w:rPr>
              <w:t>36</w:t>
            </w:r>
          </w:p>
        </w:tc>
        <w:tc>
          <w:tcPr>
            <w:tcW w:w="750" w:type="dxa"/>
            <w:vAlign w:val="center"/>
          </w:tcPr>
          <w:p>
            <w:pPr>
              <w:spacing w:line="440" w:lineRule="exact"/>
              <w:jc w:val="center"/>
              <w:rPr>
                <w:sz w:val="24"/>
              </w:rPr>
            </w:pPr>
            <w:r>
              <w:rPr>
                <w:rFonts w:hint="eastAsia"/>
                <w:sz w:val="24"/>
              </w:rPr>
              <w:t>2</w:t>
            </w:r>
          </w:p>
        </w:tc>
        <w:tc>
          <w:tcPr>
            <w:tcW w:w="2047" w:type="dxa"/>
            <w:vAlign w:val="center"/>
          </w:tcPr>
          <w:p>
            <w:pPr>
              <w:spacing w:line="440" w:lineRule="exact"/>
              <w:jc w:val="center"/>
              <w:rPr>
                <w:sz w:val="24"/>
              </w:rPr>
            </w:pPr>
            <w:r>
              <w:rPr>
                <w:rFonts w:hint="eastAsia"/>
                <w:sz w:val="24"/>
              </w:rPr>
              <w:t>理学院</w:t>
            </w:r>
          </w:p>
        </w:tc>
        <w:tc>
          <w:tcPr>
            <w:tcW w:w="656" w:type="dxa"/>
            <w:vAlign w:val="center"/>
          </w:tcPr>
          <w:p>
            <w:pPr>
              <w:spacing w:line="44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vAlign w:val="center"/>
          </w:tcPr>
          <w:p>
            <w:pPr>
              <w:spacing w:line="440" w:lineRule="exact"/>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英语精读（一）</w:t>
            </w:r>
          </w:p>
        </w:tc>
        <w:tc>
          <w:tcPr>
            <w:tcW w:w="790" w:type="dxa"/>
            <w:vAlign w:val="center"/>
          </w:tcPr>
          <w:p>
            <w:pPr>
              <w:spacing w:line="440" w:lineRule="exact"/>
              <w:jc w:val="center"/>
              <w:rPr>
                <w:sz w:val="24"/>
              </w:rPr>
            </w:pPr>
            <w:r>
              <w:rPr>
                <w:rFonts w:hint="eastAsia"/>
                <w:sz w:val="24"/>
              </w:rPr>
              <w:t>36</w:t>
            </w:r>
          </w:p>
        </w:tc>
        <w:tc>
          <w:tcPr>
            <w:tcW w:w="750" w:type="dxa"/>
            <w:vAlign w:val="center"/>
          </w:tcPr>
          <w:p>
            <w:pPr>
              <w:spacing w:line="440" w:lineRule="exact"/>
              <w:jc w:val="center"/>
              <w:rPr>
                <w:sz w:val="24"/>
              </w:rPr>
            </w:pPr>
            <w:r>
              <w:rPr>
                <w:rFonts w:hint="eastAsia"/>
                <w:sz w:val="24"/>
              </w:rPr>
              <w:t>2</w:t>
            </w:r>
          </w:p>
        </w:tc>
        <w:tc>
          <w:tcPr>
            <w:tcW w:w="2047" w:type="dxa"/>
            <w:vAlign w:val="center"/>
          </w:tcPr>
          <w:p>
            <w:pPr>
              <w:spacing w:line="440" w:lineRule="exact"/>
              <w:jc w:val="center"/>
              <w:rPr>
                <w:sz w:val="24"/>
              </w:rPr>
            </w:pPr>
            <w:r>
              <w:rPr>
                <w:rFonts w:hint="eastAsia"/>
                <w:sz w:val="24"/>
              </w:rPr>
              <w:t>外国语学院</w:t>
            </w:r>
          </w:p>
        </w:tc>
        <w:tc>
          <w:tcPr>
            <w:tcW w:w="656" w:type="dxa"/>
            <w:vAlign w:val="center"/>
          </w:tcPr>
          <w:p>
            <w:pPr>
              <w:spacing w:line="44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vAlign w:val="center"/>
          </w:tcPr>
          <w:p>
            <w:pPr>
              <w:spacing w:line="440" w:lineRule="exact"/>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英语精读（二）</w:t>
            </w:r>
          </w:p>
        </w:tc>
        <w:tc>
          <w:tcPr>
            <w:tcW w:w="790" w:type="dxa"/>
            <w:vAlign w:val="center"/>
          </w:tcPr>
          <w:p>
            <w:pPr>
              <w:spacing w:line="440" w:lineRule="exact"/>
              <w:jc w:val="center"/>
              <w:rPr>
                <w:sz w:val="24"/>
              </w:rPr>
            </w:pPr>
            <w:r>
              <w:rPr>
                <w:rFonts w:hint="eastAsia"/>
                <w:sz w:val="24"/>
              </w:rPr>
              <w:t>36</w:t>
            </w:r>
          </w:p>
        </w:tc>
        <w:tc>
          <w:tcPr>
            <w:tcW w:w="750" w:type="dxa"/>
            <w:vAlign w:val="center"/>
          </w:tcPr>
          <w:p>
            <w:pPr>
              <w:spacing w:line="440" w:lineRule="exact"/>
              <w:jc w:val="center"/>
              <w:rPr>
                <w:sz w:val="24"/>
              </w:rPr>
            </w:pPr>
            <w:r>
              <w:rPr>
                <w:rFonts w:hint="eastAsia"/>
                <w:sz w:val="24"/>
              </w:rPr>
              <w:t>2</w:t>
            </w:r>
          </w:p>
        </w:tc>
        <w:tc>
          <w:tcPr>
            <w:tcW w:w="2047" w:type="dxa"/>
            <w:vAlign w:val="center"/>
          </w:tcPr>
          <w:p>
            <w:pPr>
              <w:spacing w:line="440" w:lineRule="exact"/>
              <w:jc w:val="center"/>
              <w:rPr>
                <w:sz w:val="24"/>
              </w:rPr>
            </w:pPr>
            <w:r>
              <w:rPr>
                <w:rFonts w:hint="eastAsia"/>
                <w:sz w:val="24"/>
              </w:rPr>
              <w:t>外国语学院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vAlign w:val="center"/>
          </w:tcPr>
          <w:p>
            <w:pPr>
              <w:spacing w:line="440" w:lineRule="exact"/>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英语口语与听力（一）</w:t>
            </w:r>
          </w:p>
        </w:tc>
        <w:tc>
          <w:tcPr>
            <w:tcW w:w="790" w:type="dxa"/>
            <w:vAlign w:val="center"/>
          </w:tcPr>
          <w:p>
            <w:pPr>
              <w:spacing w:line="440" w:lineRule="exact"/>
              <w:jc w:val="center"/>
              <w:rPr>
                <w:sz w:val="24"/>
              </w:rPr>
            </w:pPr>
            <w:r>
              <w:rPr>
                <w:rFonts w:hint="eastAsia"/>
                <w:sz w:val="24"/>
              </w:rPr>
              <w:t>18</w:t>
            </w: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r>
              <w:rPr>
                <w:rFonts w:hint="eastAsia"/>
                <w:sz w:val="24"/>
              </w:rPr>
              <w:t>外国语学院</w:t>
            </w:r>
          </w:p>
        </w:tc>
        <w:tc>
          <w:tcPr>
            <w:tcW w:w="656" w:type="dxa"/>
            <w:vAlign w:val="center"/>
          </w:tcPr>
          <w:p>
            <w:pPr>
              <w:spacing w:line="44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vAlign w:val="center"/>
          </w:tcPr>
          <w:p>
            <w:pPr>
              <w:spacing w:line="440" w:lineRule="exact"/>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英语口语与听力（二）</w:t>
            </w:r>
          </w:p>
        </w:tc>
        <w:tc>
          <w:tcPr>
            <w:tcW w:w="790" w:type="dxa"/>
            <w:vAlign w:val="center"/>
          </w:tcPr>
          <w:p>
            <w:pPr>
              <w:spacing w:line="440" w:lineRule="exact"/>
              <w:jc w:val="center"/>
              <w:rPr>
                <w:sz w:val="24"/>
              </w:rPr>
            </w:pPr>
            <w:r>
              <w:rPr>
                <w:rFonts w:hint="eastAsia"/>
                <w:sz w:val="24"/>
              </w:rPr>
              <w:t>18</w:t>
            </w: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r>
              <w:rPr>
                <w:rFonts w:hint="eastAsia"/>
                <w:sz w:val="24"/>
              </w:rPr>
              <w:t>外国语学院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vAlign w:val="center"/>
          </w:tcPr>
          <w:p>
            <w:pPr>
              <w:spacing w:line="440" w:lineRule="exact"/>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体育素质课1</w:t>
            </w:r>
          </w:p>
        </w:tc>
        <w:tc>
          <w:tcPr>
            <w:tcW w:w="790" w:type="dxa"/>
            <w:vAlign w:val="center"/>
          </w:tcPr>
          <w:p>
            <w:pPr>
              <w:spacing w:line="440" w:lineRule="exact"/>
              <w:jc w:val="center"/>
              <w:rPr>
                <w:sz w:val="24"/>
              </w:rPr>
            </w:pPr>
            <w:r>
              <w:rPr>
                <w:rFonts w:hint="eastAsia"/>
                <w:sz w:val="24"/>
              </w:rPr>
              <w:t>18</w:t>
            </w: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r>
              <w:rPr>
                <w:rFonts w:hint="eastAsia"/>
                <w:sz w:val="24"/>
              </w:rPr>
              <w:t>体育教学部</w:t>
            </w:r>
          </w:p>
        </w:tc>
        <w:tc>
          <w:tcPr>
            <w:tcW w:w="656" w:type="dxa"/>
            <w:vAlign w:val="center"/>
          </w:tcPr>
          <w:p>
            <w:pPr>
              <w:spacing w:line="44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vAlign w:val="center"/>
          </w:tcPr>
          <w:p>
            <w:pPr>
              <w:spacing w:line="440" w:lineRule="exact"/>
              <w:jc w:val="center"/>
              <w:rPr>
                <w:sz w:val="24"/>
              </w:rPr>
            </w:pPr>
          </w:p>
        </w:tc>
        <w:tc>
          <w:tcPr>
            <w:tcW w:w="612" w:type="dxa"/>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体育素质课2</w:t>
            </w:r>
          </w:p>
        </w:tc>
        <w:tc>
          <w:tcPr>
            <w:tcW w:w="790" w:type="dxa"/>
            <w:vAlign w:val="center"/>
          </w:tcPr>
          <w:p>
            <w:pPr>
              <w:spacing w:line="440" w:lineRule="exact"/>
              <w:jc w:val="center"/>
              <w:rPr>
                <w:sz w:val="24"/>
              </w:rPr>
            </w:pPr>
            <w:r>
              <w:rPr>
                <w:rFonts w:hint="eastAsia"/>
                <w:sz w:val="24"/>
              </w:rPr>
              <w:t>18</w:t>
            </w: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r>
              <w:rPr>
                <w:rFonts w:hint="eastAsia"/>
                <w:sz w:val="24"/>
              </w:rPr>
              <w:t>体育教学部</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tcPr>
          <w:p>
            <w:pPr>
              <w:spacing w:line="440" w:lineRule="exact"/>
              <w:rPr>
                <w:sz w:val="24"/>
              </w:rPr>
            </w:pPr>
          </w:p>
        </w:tc>
        <w:tc>
          <w:tcPr>
            <w:tcW w:w="612" w:type="dxa"/>
            <w:vMerge w:val="restart"/>
            <w:vAlign w:val="center"/>
          </w:tcPr>
          <w:p>
            <w:pPr>
              <w:spacing w:line="440" w:lineRule="exact"/>
              <w:jc w:val="center"/>
              <w:rPr>
                <w:sz w:val="24"/>
              </w:rPr>
            </w:pPr>
            <w:r>
              <w:rPr>
                <w:rFonts w:hint="eastAsia"/>
                <w:sz w:val="24"/>
              </w:rPr>
              <w:t>专</w:t>
            </w:r>
          </w:p>
          <w:p>
            <w:pPr>
              <w:spacing w:line="440" w:lineRule="exact"/>
              <w:jc w:val="center"/>
              <w:rPr>
                <w:sz w:val="24"/>
              </w:rPr>
            </w:pPr>
            <w:r>
              <w:rPr>
                <w:rFonts w:hint="eastAsia"/>
                <w:sz w:val="24"/>
              </w:rPr>
              <w:t>业</w:t>
            </w:r>
          </w:p>
          <w:p>
            <w:pPr>
              <w:spacing w:line="440" w:lineRule="exact"/>
              <w:jc w:val="center"/>
              <w:rPr>
                <w:sz w:val="24"/>
              </w:rPr>
            </w:pPr>
            <w:r>
              <w:rPr>
                <w:rFonts w:hint="eastAsia"/>
                <w:sz w:val="24"/>
              </w:rPr>
              <w:t>课</w:t>
            </w:r>
          </w:p>
        </w:tc>
        <w:tc>
          <w:tcPr>
            <w:tcW w:w="2891" w:type="dxa"/>
            <w:vAlign w:val="center"/>
          </w:tcPr>
          <w:p>
            <w:pPr>
              <w:spacing w:line="440" w:lineRule="exact"/>
              <w:jc w:val="left"/>
              <w:rPr>
                <w:sz w:val="24"/>
              </w:rPr>
            </w:pPr>
            <w:r>
              <w:rPr>
                <w:rFonts w:hint="eastAsia"/>
                <w:sz w:val="24"/>
              </w:rPr>
              <w:t>材料热力学</w:t>
            </w:r>
          </w:p>
        </w:tc>
        <w:tc>
          <w:tcPr>
            <w:tcW w:w="790" w:type="dxa"/>
            <w:vAlign w:val="center"/>
          </w:tcPr>
          <w:p>
            <w:pPr>
              <w:spacing w:line="440" w:lineRule="exact"/>
              <w:jc w:val="center"/>
              <w:rPr>
                <w:sz w:val="24"/>
              </w:rPr>
            </w:pPr>
            <w:r>
              <w:rPr>
                <w:rFonts w:hint="eastAsia"/>
                <w:sz w:val="24"/>
              </w:rPr>
              <w:t>36</w:t>
            </w:r>
          </w:p>
        </w:tc>
        <w:tc>
          <w:tcPr>
            <w:tcW w:w="750" w:type="dxa"/>
            <w:vAlign w:val="center"/>
          </w:tcPr>
          <w:p>
            <w:pPr>
              <w:spacing w:line="440" w:lineRule="exact"/>
              <w:jc w:val="center"/>
              <w:rPr>
                <w:sz w:val="24"/>
              </w:rPr>
            </w:pPr>
            <w:r>
              <w:rPr>
                <w:rFonts w:hint="eastAsia"/>
                <w:sz w:val="24"/>
              </w:rPr>
              <w:t>2</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1" w:type="dxa"/>
            <w:vMerge w:val="continue"/>
          </w:tcPr>
          <w:p>
            <w:pPr>
              <w:spacing w:line="440" w:lineRule="exact"/>
              <w:rPr>
                <w:sz w:val="24"/>
              </w:rPr>
            </w:pPr>
          </w:p>
        </w:tc>
        <w:tc>
          <w:tcPr>
            <w:tcW w:w="612" w:type="dxa"/>
            <w:vMerge w:val="continue"/>
          </w:tcPr>
          <w:p>
            <w:pPr>
              <w:spacing w:line="440" w:lineRule="exact"/>
              <w:jc w:val="left"/>
              <w:rPr>
                <w:sz w:val="24"/>
              </w:rPr>
            </w:pPr>
          </w:p>
        </w:tc>
        <w:tc>
          <w:tcPr>
            <w:tcW w:w="2891" w:type="dxa"/>
            <w:vAlign w:val="center"/>
          </w:tcPr>
          <w:p>
            <w:pPr>
              <w:spacing w:line="440" w:lineRule="exact"/>
              <w:jc w:val="left"/>
              <w:rPr>
                <w:sz w:val="24"/>
              </w:rPr>
            </w:pPr>
            <w:r>
              <w:rPr>
                <w:rFonts w:hint="eastAsia"/>
                <w:sz w:val="24"/>
              </w:rPr>
              <w:t>材料现代分析方法</w:t>
            </w:r>
          </w:p>
        </w:tc>
        <w:tc>
          <w:tcPr>
            <w:tcW w:w="790" w:type="dxa"/>
            <w:vAlign w:val="center"/>
          </w:tcPr>
          <w:p>
            <w:pPr>
              <w:spacing w:line="440" w:lineRule="exact"/>
              <w:jc w:val="center"/>
              <w:rPr>
                <w:sz w:val="24"/>
              </w:rPr>
            </w:pPr>
            <w:r>
              <w:rPr>
                <w:rFonts w:hint="eastAsia"/>
                <w:sz w:val="24"/>
              </w:rPr>
              <w:t>36</w:t>
            </w:r>
          </w:p>
        </w:tc>
        <w:tc>
          <w:tcPr>
            <w:tcW w:w="750" w:type="dxa"/>
            <w:vAlign w:val="center"/>
          </w:tcPr>
          <w:p>
            <w:pPr>
              <w:spacing w:line="440" w:lineRule="exact"/>
              <w:jc w:val="center"/>
              <w:rPr>
                <w:sz w:val="24"/>
              </w:rPr>
            </w:pPr>
            <w:r>
              <w:rPr>
                <w:rFonts w:hint="eastAsia"/>
                <w:sz w:val="24"/>
              </w:rPr>
              <w:t>2</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731" w:type="dxa"/>
            <w:vMerge w:val="continue"/>
          </w:tcPr>
          <w:p>
            <w:pPr>
              <w:spacing w:line="440" w:lineRule="exact"/>
              <w:rPr>
                <w:sz w:val="24"/>
              </w:rPr>
            </w:pPr>
          </w:p>
        </w:tc>
        <w:tc>
          <w:tcPr>
            <w:tcW w:w="612" w:type="dxa"/>
            <w:vMerge w:val="continue"/>
          </w:tcPr>
          <w:p>
            <w:pPr>
              <w:spacing w:line="440" w:lineRule="exact"/>
              <w:jc w:val="left"/>
              <w:rPr>
                <w:sz w:val="24"/>
              </w:rPr>
            </w:pPr>
          </w:p>
        </w:tc>
        <w:tc>
          <w:tcPr>
            <w:tcW w:w="2891" w:type="dxa"/>
            <w:vAlign w:val="center"/>
          </w:tcPr>
          <w:p>
            <w:pPr>
              <w:spacing w:line="440" w:lineRule="exact"/>
              <w:jc w:val="left"/>
              <w:rPr>
                <w:sz w:val="24"/>
              </w:rPr>
            </w:pPr>
            <w:r>
              <w:rPr>
                <w:rFonts w:hint="eastAsia"/>
                <w:sz w:val="24"/>
              </w:rPr>
              <w:t>材料科学与工程基础</w:t>
            </w:r>
          </w:p>
        </w:tc>
        <w:tc>
          <w:tcPr>
            <w:tcW w:w="790" w:type="dxa"/>
            <w:vAlign w:val="center"/>
          </w:tcPr>
          <w:p>
            <w:pPr>
              <w:spacing w:line="440" w:lineRule="exact"/>
              <w:jc w:val="center"/>
              <w:rPr>
                <w:sz w:val="24"/>
              </w:rPr>
            </w:pPr>
            <w:r>
              <w:rPr>
                <w:rFonts w:hint="eastAsia"/>
                <w:sz w:val="24"/>
              </w:rPr>
              <w:t>36</w:t>
            </w:r>
          </w:p>
        </w:tc>
        <w:tc>
          <w:tcPr>
            <w:tcW w:w="750" w:type="dxa"/>
            <w:vAlign w:val="center"/>
          </w:tcPr>
          <w:p>
            <w:pPr>
              <w:spacing w:line="440" w:lineRule="exact"/>
              <w:jc w:val="center"/>
              <w:rPr>
                <w:sz w:val="24"/>
              </w:rPr>
            </w:pPr>
            <w:r>
              <w:rPr>
                <w:rFonts w:hint="eastAsia"/>
                <w:sz w:val="24"/>
              </w:rPr>
              <w:t>2</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restart"/>
            <w:vAlign w:val="center"/>
          </w:tcPr>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rFonts w:ascii="宋体" w:hAnsi="宋体"/>
                <w:sz w:val="24"/>
              </w:rPr>
            </w:pPr>
            <w:r>
              <w:rPr>
                <w:rFonts w:hint="eastAsia"/>
                <w:sz w:val="24"/>
              </w:rPr>
              <w:t>非学位课</w:t>
            </w:r>
          </w:p>
          <w:p>
            <w:pPr>
              <w:spacing w:line="440" w:lineRule="exact"/>
              <w:jc w:val="center"/>
              <w:rPr>
                <w:rFonts w:ascii="宋体" w:hAnsi="宋体"/>
                <w:sz w:val="24"/>
              </w:rPr>
            </w:pPr>
            <w:r>
              <w:rPr>
                <w:rFonts w:hint="eastAsia" w:ascii="宋体" w:hAnsi="宋体"/>
                <w:sz w:val="24"/>
              </w:rPr>
              <w:t>（</w:t>
            </w:r>
            <w:r>
              <w:rPr>
                <w:rFonts w:hint="eastAsia"/>
                <w:sz w:val="24"/>
              </w:rPr>
              <w:t>选修课</w:t>
            </w:r>
            <w:r>
              <w:rPr>
                <w:rFonts w:hint="eastAsia" w:ascii="宋体" w:hAnsi="宋体"/>
                <w:sz w:val="24"/>
              </w:rPr>
              <w:t>）</w:t>
            </w: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sz w:val="24"/>
              </w:rPr>
            </w:pPr>
          </w:p>
          <w:p>
            <w:pPr>
              <w:spacing w:line="440" w:lineRule="exact"/>
              <w:jc w:val="center"/>
              <w:rPr>
                <w:rFonts w:ascii="宋体" w:hAnsi="宋体"/>
                <w:sz w:val="24"/>
              </w:rPr>
            </w:pPr>
            <w:r>
              <w:rPr>
                <w:rFonts w:hint="eastAsia"/>
                <w:sz w:val="24"/>
              </w:rPr>
              <w:t>非学位课</w:t>
            </w:r>
          </w:p>
          <w:p>
            <w:pPr>
              <w:spacing w:line="440" w:lineRule="exact"/>
              <w:jc w:val="center"/>
              <w:rPr>
                <w:rFonts w:ascii="宋体" w:hAnsi="宋体"/>
                <w:sz w:val="24"/>
              </w:rPr>
            </w:pPr>
            <w:r>
              <w:rPr>
                <w:rFonts w:hint="eastAsia" w:ascii="宋体" w:hAnsi="宋体"/>
                <w:sz w:val="24"/>
              </w:rPr>
              <w:t>（</w:t>
            </w:r>
            <w:r>
              <w:rPr>
                <w:rFonts w:hint="eastAsia"/>
                <w:sz w:val="24"/>
              </w:rPr>
              <w:t>选修课</w:t>
            </w:r>
            <w:r>
              <w:rPr>
                <w:rFonts w:hint="eastAsia" w:ascii="宋体" w:hAnsi="宋体"/>
                <w:sz w:val="24"/>
              </w:rPr>
              <w:t>）</w:t>
            </w:r>
          </w:p>
          <w:p>
            <w:pPr>
              <w:spacing w:line="440" w:lineRule="exact"/>
              <w:jc w:val="center"/>
              <w:rPr>
                <w:sz w:val="24"/>
              </w:rPr>
            </w:pPr>
          </w:p>
        </w:tc>
        <w:tc>
          <w:tcPr>
            <w:tcW w:w="2891" w:type="dxa"/>
            <w:vAlign w:val="center"/>
          </w:tcPr>
          <w:p>
            <w:pPr>
              <w:spacing w:line="440" w:lineRule="exact"/>
              <w:jc w:val="left"/>
              <w:rPr>
                <w:sz w:val="24"/>
              </w:rPr>
            </w:pPr>
            <w:r>
              <w:rPr>
                <w:rFonts w:hint="eastAsia"/>
                <w:sz w:val="24"/>
              </w:rPr>
              <w:t>图像处理</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理学院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纳米材料学</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固态相变学</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功能高分子材料</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界面与表面</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材料专业</w:t>
            </w:r>
            <w:r>
              <w:rPr>
                <w:sz w:val="24"/>
              </w:rPr>
              <w:t>英语</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计算机数值模拟在材料工程中的应用</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材料结构与性能</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材料前沿</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超硬材料科学与工程</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聚合物改性</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材料合成与制备</w:t>
            </w:r>
          </w:p>
        </w:tc>
        <w:tc>
          <w:tcPr>
            <w:tcW w:w="790" w:type="dxa"/>
            <w:vAlign w:val="center"/>
          </w:tcPr>
          <w:p>
            <w:pPr>
              <w:spacing w:line="440" w:lineRule="exact"/>
              <w:jc w:val="center"/>
              <w:rPr>
                <w:sz w:val="24"/>
              </w:rPr>
            </w:pPr>
            <w:r>
              <w:rPr>
                <w:rFonts w:hint="eastAsia"/>
                <w:sz w:val="24"/>
              </w:rPr>
              <w:t>27</w:t>
            </w:r>
          </w:p>
        </w:tc>
        <w:tc>
          <w:tcPr>
            <w:tcW w:w="750" w:type="dxa"/>
            <w:vAlign w:val="center"/>
          </w:tcPr>
          <w:p>
            <w:pPr>
              <w:spacing w:line="440" w:lineRule="exact"/>
              <w:jc w:val="center"/>
              <w:rPr>
                <w:sz w:val="24"/>
              </w:rPr>
            </w:pPr>
            <w:r>
              <w:rPr>
                <w:rFonts w:hint="eastAsia"/>
                <w:sz w:val="24"/>
              </w:rPr>
              <w:t>1.5</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复合材料结构与性能</w:t>
            </w:r>
          </w:p>
        </w:tc>
        <w:tc>
          <w:tcPr>
            <w:tcW w:w="790" w:type="dxa"/>
            <w:vAlign w:val="center"/>
          </w:tcPr>
          <w:p>
            <w:pPr>
              <w:spacing w:line="440" w:lineRule="exact"/>
              <w:jc w:val="center"/>
              <w:rPr>
                <w:sz w:val="24"/>
              </w:rPr>
            </w:pPr>
            <w:r>
              <w:rPr>
                <w:rFonts w:hint="eastAsia"/>
                <w:sz w:val="24"/>
              </w:rPr>
              <w:t>18</w:t>
            </w: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现代表面工程</w:t>
            </w:r>
          </w:p>
        </w:tc>
        <w:tc>
          <w:tcPr>
            <w:tcW w:w="790" w:type="dxa"/>
            <w:vAlign w:val="center"/>
          </w:tcPr>
          <w:p>
            <w:pPr>
              <w:spacing w:line="440" w:lineRule="exact"/>
              <w:jc w:val="center"/>
              <w:rPr>
                <w:sz w:val="24"/>
              </w:rPr>
            </w:pPr>
            <w:r>
              <w:rPr>
                <w:rFonts w:hint="eastAsia"/>
                <w:sz w:val="24"/>
              </w:rPr>
              <w:t>18</w:t>
            </w: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343" w:type="dxa"/>
            <w:gridSpan w:val="2"/>
            <w:vMerge w:val="continue"/>
            <w:vAlign w:val="center"/>
          </w:tcPr>
          <w:p>
            <w:pPr>
              <w:spacing w:line="440" w:lineRule="exact"/>
              <w:jc w:val="center"/>
              <w:rPr>
                <w:sz w:val="24"/>
              </w:rPr>
            </w:pPr>
          </w:p>
        </w:tc>
        <w:tc>
          <w:tcPr>
            <w:tcW w:w="2891" w:type="dxa"/>
            <w:vAlign w:val="center"/>
          </w:tcPr>
          <w:p>
            <w:pPr>
              <w:spacing w:line="440" w:lineRule="exact"/>
              <w:jc w:val="left"/>
              <w:rPr>
                <w:sz w:val="24"/>
              </w:rPr>
            </w:pPr>
            <w:r>
              <w:rPr>
                <w:rFonts w:hint="eastAsia"/>
                <w:sz w:val="24"/>
              </w:rPr>
              <w:t>粉末冶金</w:t>
            </w:r>
          </w:p>
        </w:tc>
        <w:tc>
          <w:tcPr>
            <w:tcW w:w="790" w:type="dxa"/>
            <w:vAlign w:val="center"/>
          </w:tcPr>
          <w:p>
            <w:pPr>
              <w:spacing w:line="440" w:lineRule="exact"/>
              <w:jc w:val="center"/>
              <w:rPr>
                <w:sz w:val="24"/>
              </w:rPr>
            </w:pPr>
            <w:r>
              <w:rPr>
                <w:rFonts w:hint="eastAsia"/>
                <w:sz w:val="24"/>
              </w:rPr>
              <w:t>18</w:t>
            </w: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r>
              <w:rPr>
                <w:rFonts w:hint="eastAsia"/>
                <w:sz w:val="24"/>
              </w:rPr>
              <w:t>材料与化工学院</w:t>
            </w:r>
          </w:p>
        </w:tc>
        <w:tc>
          <w:tcPr>
            <w:tcW w:w="656" w:type="dxa"/>
            <w:vAlign w:val="center"/>
          </w:tcPr>
          <w:p>
            <w:pPr>
              <w:spacing w:line="440" w:lineRule="exact"/>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restart"/>
            <w:vAlign w:val="center"/>
          </w:tcPr>
          <w:p>
            <w:pPr>
              <w:spacing w:line="440" w:lineRule="exact"/>
              <w:jc w:val="center"/>
              <w:rPr>
                <w:sz w:val="24"/>
              </w:rPr>
            </w:pPr>
            <w:r>
              <w:rPr>
                <w:rFonts w:hint="eastAsia"/>
                <w:sz w:val="24"/>
              </w:rPr>
              <w:t>实践环节</w:t>
            </w:r>
          </w:p>
          <w:p>
            <w:pPr>
              <w:spacing w:line="440" w:lineRule="exact"/>
              <w:jc w:val="center"/>
              <w:rPr>
                <w:sz w:val="24"/>
              </w:rPr>
            </w:pPr>
            <w:r>
              <w:rPr>
                <w:rFonts w:hint="eastAsia"/>
                <w:sz w:val="24"/>
              </w:rPr>
              <w:t>（必修）</w:t>
            </w:r>
          </w:p>
        </w:tc>
        <w:tc>
          <w:tcPr>
            <w:tcW w:w="2891" w:type="dxa"/>
            <w:vAlign w:val="center"/>
          </w:tcPr>
          <w:p>
            <w:pPr>
              <w:rPr>
                <w:sz w:val="24"/>
              </w:rPr>
            </w:pPr>
            <w:r>
              <w:rPr>
                <w:rFonts w:hint="eastAsia"/>
                <w:sz w:val="24"/>
              </w:rPr>
              <w:t>科研实践</w:t>
            </w:r>
          </w:p>
        </w:tc>
        <w:tc>
          <w:tcPr>
            <w:tcW w:w="790" w:type="dxa"/>
            <w:vAlign w:val="center"/>
          </w:tcPr>
          <w:p>
            <w:pPr>
              <w:spacing w:line="440" w:lineRule="exact"/>
              <w:jc w:val="center"/>
              <w:rPr>
                <w:sz w:val="24"/>
              </w:rPr>
            </w:pP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bookmarkStart w:id="0" w:name="_GoBack"/>
            <w:bookmarkEnd w:id="0"/>
          </w:p>
        </w:tc>
        <w:tc>
          <w:tcPr>
            <w:tcW w:w="656" w:type="dxa"/>
            <w:vAlign w:val="center"/>
          </w:tcPr>
          <w:p>
            <w:pPr>
              <w:spacing w:line="440" w:lineRule="exact"/>
              <w:jc w:val="center"/>
              <w:rPr>
                <w:sz w:val="24"/>
              </w:rPr>
            </w:pPr>
            <w:r>
              <w:rPr>
                <w:rFonts w:hint="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tcPr>
          <w:p>
            <w:pPr>
              <w:spacing w:line="440" w:lineRule="exact"/>
              <w:rPr>
                <w:sz w:val="24"/>
              </w:rPr>
            </w:pPr>
          </w:p>
        </w:tc>
        <w:tc>
          <w:tcPr>
            <w:tcW w:w="2891" w:type="dxa"/>
            <w:vAlign w:val="center"/>
          </w:tcPr>
          <w:p>
            <w:pPr>
              <w:spacing w:line="440" w:lineRule="exact"/>
              <w:jc w:val="left"/>
              <w:rPr>
                <w:sz w:val="24"/>
              </w:rPr>
            </w:pPr>
            <w:r>
              <w:rPr>
                <w:rFonts w:hint="eastAsia"/>
                <w:sz w:val="24"/>
              </w:rPr>
              <w:t>社会实践</w:t>
            </w:r>
          </w:p>
        </w:tc>
        <w:tc>
          <w:tcPr>
            <w:tcW w:w="790" w:type="dxa"/>
            <w:vAlign w:val="center"/>
          </w:tcPr>
          <w:p>
            <w:pPr>
              <w:spacing w:line="440" w:lineRule="exact"/>
              <w:jc w:val="center"/>
              <w:rPr>
                <w:sz w:val="24"/>
              </w:rPr>
            </w:pP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p>
        </w:tc>
        <w:tc>
          <w:tcPr>
            <w:tcW w:w="656" w:type="dxa"/>
            <w:vAlign w:val="center"/>
          </w:tcPr>
          <w:p>
            <w:pPr>
              <w:spacing w:line="440" w:lineRule="exact"/>
              <w:jc w:val="center"/>
              <w:rPr>
                <w:sz w:val="24"/>
              </w:rPr>
            </w:pPr>
            <w:r>
              <w:rPr>
                <w:rFonts w:hint="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343" w:type="dxa"/>
            <w:gridSpan w:val="2"/>
            <w:vMerge w:val="continue"/>
          </w:tcPr>
          <w:p>
            <w:pPr>
              <w:spacing w:line="440" w:lineRule="exact"/>
              <w:rPr>
                <w:sz w:val="24"/>
              </w:rPr>
            </w:pPr>
          </w:p>
        </w:tc>
        <w:tc>
          <w:tcPr>
            <w:tcW w:w="2891" w:type="dxa"/>
            <w:vAlign w:val="center"/>
          </w:tcPr>
          <w:p>
            <w:pPr>
              <w:spacing w:line="440" w:lineRule="exact"/>
              <w:jc w:val="left"/>
              <w:rPr>
                <w:sz w:val="24"/>
              </w:rPr>
            </w:pPr>
            <w:r>
              <w:rPr>
                <w:rFonts w:hint="eastAsia"/>
                <w:sz w:val="24"/>
              </w:rPr>
              <w:t>学术活动</w:t>
            </w:r>
          </w:p>
        </w:tc>
        <w:tc>
          <w:tcPr>
            <w:tcW w:w="790" w:type="dxa"/>
            <w:vAlign w:val="center"/>
          </w:tcPr>
          <w:p>
            <w:pPr>
              <w:spacing w:line="440" w:lineRule="exact"/>
              <w:jc w:val="center"/>
              <w:rPr>
                <w:sz w:val="24"/>
              </w:rPr>
            </w:pPr>
          </w:p>
        </w:tc>
        <w:tc>
          <w:tcPr>
            <w:tcW w:w="750" w:type="dxa"/>
            <w:vAlign w:val="center"/>
          </w:tcPr>
          <w:p>
            <w:pPr>
              <w:spacing w:line="440" w:lineRule="exact"/>
              <w:jc w:val="center"/>
              <w:rPr>
                <w:sz w:val="24"/>
              </w:rPr>
            </w:pPr>
            <w:r>
              <w:rPr>
                <w:rFonts w:hint="eastAsia"/>
                <w:sz w:val="24"/>
              </w:rPr>
              <w:t>1</w:t>
            </w:r>
          </w:p>
        </w:tc>
        <w:tc>
          <w:tcPr>
            <w:tcW w:w="2047" w:type="dxa"/>
            <w:vAlign w:val="center"/>
          </w:tcPr>
          <w:p>
            <w:pPr>
              <w:spacing w:line="440" w:lineRule="exact"/>
              <w:jc w:val="center"/>
              <w:rPr>
                <w:sz w:val="24"/>
              </w:rPr>
            </w:pPr>
          </w:p>
        </w:tc>
        <w:tc>
          <w:tcPr>
            <w:tcW w:w="656" w:type="dxa"/>
            <w:vAlign w:val="center"/>
          </w:tcPr>
          <w:p>
            <w:pPr>
              <w:spacing w:line="440" w:lineRule="exact"/>
              <w:jc w:val="center"/>
              <w:rPr>
                <w:sz w:val="24"/>
              </w:rPr>
            </w:pPr>
            <w:r>
              <w:rPr>
                <w:rFonts w:hint="eastAsia"/>
                <w:sz w:val="24"/>
              </w:rPr>
              <w:t>1-5</w:t>
            </w:r>
          </w:p>
        </w:tc>
      </w:tr>
    </w:tbl>
    <w:p>
      <w:pPr>
        <w:adjustRightInd w:val="0"/>
        <w:snapToGrid w:val="0"/>
        <w:spacing w:line="500" w:lineRule="exact"/>
        <w:ind w:firstLine="560" w:firstLineChars="200"/>
        <w:rPr>
          <w:rFonts w:cs="宋体"/>
          <w:sz w:val="28"/>
          <w:szCs w:val="28"/>
        </w:rPr>
      </w:pPr>
    </w:p>
    <w:p>
      <w:pPr>
        <w:adjustRightInd w:val="0"/>
        <w:snapToGrid w:val="0"/>
        <w:spacing w:line="500" w:lineRule="exact"/>
        <w:ind w:firstLine="560" w:firstLineChars="200"/>
        <w:rPr>
          <w:rFonts w:cs="宋体"/>
          <w:sz w:val="28"/>
          <w:szCs w:val="28"/>
        </w:rPr>
      </w:pPr>
    </w:p>
    <w:p>
      <w:pPr>
        <w:pStyle w:val="4"/>
        <w:spacing w:line="500" w:lineRule="exact"/>
        <w:ind w:firstLine="560" w:firstLineChars="200"/>
        <w:rPr>
          <w:rFonts w:cs="宋体"/>
          <w:color w:val="auto"/>
          <w:sz w:val="28"/>
          <w:szCs w:val="28"/>
        </w:rPr>
      </w:pPr>
      <w:r>
        <w:rPr>
          <w:rFonts w:hint="eastAsia" w:eastAsia="宋体"/>
          <w:b w:val="0"/>
          <w:bCs w:val="0"/>
          <w:color w:val="auto"/>
          <w:sz w:val="28"/>
          <w:szCs w:val="28"/>
        </w:rPr>
        <w:t>课程考核均实行百分制，考核方式及要求见《教学大纲》学位课程考核达到70分以上者可取得所修课程的相应学分；非学位课程考核达到60分以上者，可取得所修课程的相应学分。各实践环节学分认定按照中原工学院硕士研究生相关规定执行。</w:t>
      </w:r>
    </w:p>
    <w:p>
      <w:pPr>
        <w:pStyle w:val="4"/>
        <w:spacing w:line="500" w:lineRule="exact"/>
        <w:rPr>
          <w:rFonts w:eastAsia="宋体"/>
          <w:sz w:val="28"/>
          <w:szCs w:val="28"/>
        </w:rPr>
      </w:pPr>
      <w:r>
        <w:rPr>
          <w:rFonts w:hint="eastAsia" w:eastAsia="宋体"/>
          <w:sz w:val="28"/>
          <w:szCs w:val="28"/>
        </w:rPr>
        <w:t>五、研究环节与学位论文</w:t>
      </w:r>
    </w:p>
    <w:p>
      <w:pPr>
        <w:adjustRightInd w:val="0"/>
        <w:spacing w:before="40" w:line="500" w:lineRule="exact"/>
        <w:ind w:firstLine="720"/>
        <w:textAlignment w:val="baseline"/>
        <w:rPr>
          <w:rFonts w:ascii="宋体" w:hAnsi="宋体"/>
          <w:sz w:val="28"/>
          <w:szCs w:val="28"/>
        </w:rPr>
      </w:pPr>
      <w:r>
        <w:rPr>
          <w:rFonts w:ascii="宋体" w:hAnsi="宋体"/>
          <w:sz w:val="28"/>
          <w:szCs w:val="28"/>
        </w:rPr>
        <w:t>研究生在读期间须在国内外正式出版的相关学科学术刊物或国际、国内学术会议论文集上全文发表（录用）学术论文1篇以上（含1篇），研究生须为第一或第二作者（若为第二作者，第一或通讯作者应为其导师）</w:t>
      </w:r>
      <w:r>
        <w:rPr>
          <w:rFonts w:hint="eastAsia" w:ascii="宋体" w:hAnsi="宋体"/>
          <w:sz w:val="28"/>
          <w:szCs w:val="28"/>
        </w:rPr>
        <w:t>；</w:t>
      </w:r>
    </w:p>
    <w:p>
      <w:pPr>
        <w:spacing w:before="40" w:line="500" w:lineRule="exact"/>
        <w:ind w:firstLine="720"/>
        <w:rPr>
          <w:rFonts w:ascii="宋体" w:hAnsi="宋体"/>
          <w:sz w:val="28"/>
          <w:szCs w:val="28"/>
        </w:rPr>
      </w:pPr>
      <w:r>
        <w:rPr>
          <w:rFonts w:ascii="宋体" w:hAnsi="宋体"/>
          <w:sz w:val="28"/>
          <w:szCs w:val="28"/>
        </w:rPr>
        <w:t>研究生必须通过</w:t>
      </w:r>
      <w:r>
        <w:rPr>
          <w:rFonts w:hint="eastAsia" w:ascii="宋体" w:hAnsi="宋体"/>
          <w:sz w:val="28"/>
          <w:szCs w:val="28"/>
        </w:rPr>
        <w:t>论文选题</w:t>
      </w:r>
      <w:r>
        <w:rPr>
          <w:rFonts w:ascii="宋体" w:hAnsi="宋体"/>
          <w:sz w:val="28"/>
          <w:szCs w:val="28"/>
        </w:rPr>
        <w:t>、中期考核、</w:t>
      </w:r>
      <w:r>
        <w:rPr>
          <w:rFonts w:hint="eastAsia" w:ascii="宋体" w:hAnsi="宋体"/>
          <w:sz w:val="28"/>
          <w:szCs w:val="28"/>
        </w:rPr>
        <w:t>预答辩</w:t>
      </w:r>
      <w:r>
        <w:rPr>
          <w:rFonts w:ascii="宋体" w:hAnsi="宋体"/>
          <w:sz w:val="28"/>
          <w:szCs w:val="28"/>
        </w:rPr>
        <w:t>、论文盲审、学位答辩等环节，</w:t>
      </w:r>
      <w:r>
        <w:rPr>
          <w:rFonts w:hint="eastAsia" w:ascii="宋体" w:hAnsi="宋体"/>
          <w:sz w:val="28"/>
          <w:szCs w:val="28"/>
        </w:rPr>
        <w:t>方能</w:t>
      </w:r>
      <w:r>
        <w:rPr>
          <w:rFonts w:ascii="宋体" w:hAnsi="宋体"/>
          <w:sz w:val="28"/>
          <w:szCs w:val="28"/>
        </w:rPr>
        <w:t>授予硕士学位。</w:t>
      </w:r>
      <w:r>
        <w:rPr>
          <w:rFonts w:hint="eastAsia"/>
          <w:sz w:val="28"/>
          <w:szCs w:val="28"/>
        </w:rPr>
        <w:t>开题报告在第三学期完成，应不少于1万字。硕士学位论文执行学校有关规定，正文应在3万字以上（含图表）。</w:t>
      </w:r>
    </w:p>
    <w:p>
      <w:pPr>
        <w:spacing w:line="500" w:lineRule="exact"/>
        <w:rPr>
          <w:color w:val="000000"/>
          <w:sz w:val="28"/>
          <w:szCs w:val="28"/>
        </w:rPr>
      </w:pPr>
    </w:p>
    <w:p>
      <w:pPr>
        <w:spacing w:line="500" w:lineRule="exact"/>
        <w:rPr>
          <w:color w:val="000000"/>
          <w:sz w:val="28"/>
          <w:szCs w:val="28"/>
        </w:rPr>
      </w:pPr>
      <w:r>
        <w:drawing>
          <wp:anchor distT="0" distB="0" distL="114300" distR="114300" simplePos="0" relativeHeight="251659264" behindDoc="1" locked="0" layoutInCell="1" allowOverlap="1">
            <wp:simplePos x="0" y="0"/>
            <wp:positionH relativeFrom="column">
              <wp:posOffset>1535430</wp:posOffset>
            </wp:positionH>
            <wp:positionV relativeFrom="paragraph">
              <wp:posOffset>74930</wp:posOffset>
            </wp:positionV>
            <wp:extent cx="4596130" cy="1781175"/>
            <wp:effectExtent l="0" t="0" r="0" b="9525"/>
            <wp:wrapNone/>
            <wp:docPr id="1" name="图片 1" descr="1537948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3794873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96130" cy="1781175"/>
                    </a:xfrm>
                    <a:prstGeom prst="rect">
                      <a:avLst/>
                    </a:prstGeom>
                    <a:noFill/>
                    <a:ln>
                      <a:noFill/>
                    </a:ln>
                  </pic:spPr>
                </pic:pic>
              </a:graphicData>
            </a:graphic>
          </wp:anchor>
        </w:drawing>
      </w: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7456B"/>
    <w:multiLevelType w:val="multilevel"/>
    <w:tmpl w:val="3627456B"/>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F5"/>
    <w:rsid w:val="00122BC2"/>
    <w:rsid w:val="001572A9"/>
    <w:rsid w:val="002A0E9C"/>
    <w:rsid w:val="004A1772"/>
    <w:rsid w:val="00712037"/>
    <w:rsid w:val="008810D5"/>
    <w:rsid w:val="008D6593"/>
    <w:rsid w:val="00A74C63"/>
    <w:rsid w:val="00CD0C1A"/>
    <w:rsid w:val="00D22CF5"/>
    <w:rsid w:val="00D34F98"/>
    <w:rsid w:val="00E2193D"/>
    <w:rsid w:val="00E72F21"/>
    <w:rsid w:val="00EB3034"/>
    <w:rsid w:val="00F41BF2"/>
    <w:rsid w:val="7D6B6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spacing w:line="440" w:lineRule="exact"/>
      <w:jc w:val="center"/>
      <w:outlineLvl w:val="0"/>
    </w:pPr>
    <w:rPr>
      <w:rFonts w:eastAsia="黑体"/>
      <w:b/>
      <w:bCs/>
      <w:sz w:val="36"/>
      <w:szCs w:val="36"/>
    </w:rPr>
  </w:style>
  <w:style w:type="paragraph" w:styleId="3">
    <w:name w:val="heading 2"/>
    <w:basedOn w:val="1"/>
    <w:next w:val="1"/>
    <w:link w:val="15"/>
    <w:qFormat/>
    <w:uiPriority w:val="0"/>
    <w:pPr>
      <w:keepNext/>
      <w:ind w:firstLine="700"/>
      <w:jc w:val="center"/>
      <w:outlineLvl w:val="1"/>
    </w:pPr>
    <w:rPr>
      <w:b/>
      <w:kern w:val="0"/>
      <w:sz w:val="28"/>
    </w:rPr>
  </w:style>
  <w:style w:type="paragraph" w:styleId="4">
    <w:name w:val="heading 5"/>
    <w:basedOn w:val="1"/>
    <w:next w:val="1"/>
    <w:link w:val="16"/>
    <w:qFormat/>
    <w:uiPriority w:val="0"/>
    <w:pPr>
      <w:keepNext/>
      <w:keepLines/>
      <w:spacing w:before="40" w:line="288" w:lineRule="auto"/>
      <w:outlineLvl w:val="4"/>
    </w:pPr>
    <w:rPr>
      <w:rFonts w:eastAsia="黑体"/>
      <w:b/>
      <w:bCs/>
      <w:color w:val="000000"/>
      <w:sz w:val="22"/>
      <w:szCs w:val="18"/>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17"/>
    <w:uiPriority w:val="0"/>
    <w:pPr>
      <w:jc w:val="left"/>
    </w:pPr>
  </w:style>
  <w:style w:type="paragraph" w:styleId="6">
    <w:name w:val="Balloon Text"/>
    <w:basedOn w:val="1"/>
    <w:link w:val="18"/>
    <w:semiHidden/>
    <w:unhideWhenUsed/>
    <w:uiPriority w:val="99"/>
    <w:rPr>
      <w:rFonts w:ascii="Microsoft YaHei UI" w:eastAsia="Microsoft YaHei UI"/>
      <w:sz w:val="18"/>
      <w:szCs w:val="18"/>
    </w:rPr>
  </w:style>
  <w:style w:type="paragraph" w:styleId="7">
    <w:name w:val="footer"/>
    <w:basedOn w:val="1"/>
    <w:link w:val="13"/>
    <w:unhideWhenUsed/>
    <w:uiPriority w:val="99"/>
    <w:pPr>
      <w:tabs>
        <w:tab w:val="center" w:pos="4320"/>
        <w:tab w:val="right" w:pos="8640"/>
      </w:tabs>
    </w:pPr>
  </w:style>
  <w:style w:type="paragraph" w:styleId="8">
    <w:name w:val="header"/>
    <w:basedOn w:val="1"/>
    <w:link w:val="12"/>
    <w:unhideWhenUsed/>
    <w:uiPriority w:val="99"/>
    <w:pPr>
      <w:tabs>
        <w:tab w:val="center" w:pos="4320"/>
        <w:tab w:val="right" w:pos="8640"/>
      </w:tabs>
    </w:pPr>
  </w:style>
  <w:style w:type="character" w:styleId="10">
    <w:name w:val="annotation reference"/>
    <w:basedOn w:val="9"/>
    <w:uiPriority w:val="0"/>
    <w:rPr>
      <w:rFonts w:ascii="Times New Roman" w:hAnsi="Times New Roman" w:eastAsia="宋体" w:cs="Times New Roman"/>
      <w:sz w:val="21"/>
      <w:szCs w:val="21"/>
    </w:rPr>
  </w:style>
  <w:style w:type="character" w:customStyle="1" w:styleId="12">
    <w:name w:val="页眉 Char"/>
    <w:basedOn w:val="9"/>
    <w:link w:val="8"/>
    <w:uiPriority w:val="99"/>
  </w:style>
  <w:style w:type="character" w:customStyle="1" w:styleId="13">
    <w:name w:val="页脚 Char"/>
    <w:basedOn w:val="9"/>
    <w:link w:val="7"/>
    <w:uiPriority w:val="99"/>
  </w:style>
  <w:style w:type="character" w:customStyle="1" w:styleId="14">
    <w:name w:val="标题 1 Char"/>
    <w:basedOn w:val="9"/>
    <w:link w:val="2"/>
    <w:uiPriority w:val="0"/>
    <w:rPr>
      <w:rFonts w:ascii="Times New Roman" w:hAnsi="Times New Roman" w:eastAsia="黑体" w:cs="Times New Roman"/>
      <w:b/>
      <w:bCs/>
      <w:kern w:val="2"/>
      <w:sz w:val="36"/>
      <w:szCs w:val="36"/>
    </w:rPr>
  </w:style>
  <w:style w:type="character" w:customStyle="1" w:styleId="15">
    <w:name w:val="标题 2 Char"/>
    <w:basedOn w:val="9"/>
    <w:link w:val="3"/>
    <w:uiPriority w:val="0"/>
    <w:rPr>
      <w:rFonts w:ascii="Times New Roman" w:hAnsi="Times New Roman" w:eastAsia="宋体" w:cs="Times New Roman"/>
      <w:b/>
      <w:sz w:val="28"/>
      <w:szCs w:val="24"/>
    </w:rPr>
  </w:style>
  <w:style w:type="character" w:customStyle="1" w:styleId="16">
    <w:name w:val="标题 5 Char"/>
    <w:basedOn w:val="9"/>
    <w:link w:val="4"/>
    <w:uiPriority w:val="0"/>
    <w:rPr>
      <w:rFonts w:ascii="Times New Roman" w:hAnsi="Times New Roman" w:eastAsia="黑体" w:cs="Times New Roman"/>
      <w:b/>
      <w:bCs/>
      <w:color w:val="000000"/>
      <w:kern w:val="2"/>
      <w:szCs w:val="18"/>
    </w:rPr>
  </w:style>
  <w:style w:type="character" w:customStyle="1" w:styleId="17">
    <w:name w:val="批注文字 Char"/>
    <w:basedOn w:val="9"/>
    <w:link w:val="5"/>
    <w:uiPriority w:val="0"/>
    <w:rPr>
      <w:rFonts w:ascii="Times New Roman" w:hAnsi="Times New Roman" w:eastAsia="宋体" w:cs="Times New Roman"/>
      <w:kern w:val="2"/>
      <w:sz w:val="21"/>
      <w:szCs w:val="24"/>
    </w:rPr>
  </w:style>
  <w:style w:type="character" w:customStyle="1" w:styleId="18">
    <w:name w:val="批注框文本 Char"/>
    <w:basedOn w:val="9"/>
    <w:link w:val="6"/>
    <w:semiHidden/>
    <w:uiPriority w:val="99"/>
    <w:rPr>
      <w:rFonts w:ascii="Microsoft YaHei UI" w:hAnsi="Times New Roman" w:eastAsia="Microsoft YaHei UI"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248</Words>
  <Characters>1419</Characters>
  <Lines>11</Lines>
  <Paragraphs>3</Paragraphs>
  <TotalTime>22</TotalTime>
  <ScaleCrop>false</ScaleCrop>
  <LinksUpToDate>false</LinksUpToDate>
  <CharactersWithSpaces>1664</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2018-10-10T08:29:00Z</dcterms:created>
  <dc:creator>ChenKongyao</dc:creator>
  <cp:lastModifiedBy>Administrator</cp:lastModifiedBy>
  <dcterms:modified xsi:type="dcterms:W3CDTF">2018-11-28T06:18:55Z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