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5EA" w:rsidRDefault="005C2ED5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《交通规划》考试大纲</w:t>
      </w:r>
    </w:p>
    <w:p w:rsidR="002555EA" w:rsidRDefault="005C2ED5" w:rsidP="00222ECC">
      <w:pPr>
        <w:pStyle w:val="a4"/>
        <w:spacing w:line="360" w:lineRule="auto"/>
        <w:ind w:firstLineChars="0" w:firstLine="0"/>
        <w:rPr>
          <w:b/>
          <w:bCs/>
          <w:sz w:val="24"/>
          <w:szCs w:val="24"/>
        </w:rPr>
      </w:pPr>
      <w:bookmarkStart w:id="0" w:name="_GoBack"/>
      <w:r>
        <w:rPr>
          <w:rFonts w:hint="eastAsia"/>
          <w:b/>
          <w:bCs/>
          <w:sz w:val="24"/>
          <w:szCs w:val="24"/>
        </w:rPr>
        <w:t>一、考试基本要求</w:t>
      </w:r>
    </w:p>
    <w:p w:rsidR="002555EA" w:rsidRDefault="005C2ED5" w:rsidP="00222ECC">
      <w:pPr>
        <w:spacing w:line="360" w:lineRule="auto"/>
        <w:ind w:firstLineChars="200" w:firstLine="420"/>
      </w:pPr>
      <w:proofErr w:type="gramStart"/>
      <w:r>
        <w:rPr>
          <w:rFonts w:hint="eastAsia"/>
        </w:rPr>
        <w:t>本考试</w:t>
      </w:r>
      <w:proofErr w:type="gramEnd"/>
      <w:r>
        <w:rPr>
          <w:rFonts w:hint="eastAsia"/>
        </w:rPr>
        <w:t>大纲适用于报考河南理工大学交通运输专业硕士研究生入学考试，《交通规划》是招收交通运输专业的硕士生而设置的具有选拔功能的水平考试。它的主要目的是考查学生的专业课基础，测试考生对交通规划原理的掌握程度。要求考生掌握的交通规划基本概念、理论与方法，以及多种交通规划的方法，具备一定的分析能力，能够对规划方案进行综合评价。</w:t>
      </w:r>
    </w:p>
    <w:p w:rsidR="002555EA" w:rsidRDefault="005C2ED5" w:rsidP="00222ECC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二、考试内容</w:t>
      </w:r>
    </w:p>
    <w:p w:rsidR="002555EA" w:rsidRDefault="005C2ED5" w:rsidP="00222ECC">
      <w:pPr>
        <w:spacing w:line="360" w:lineRule="auto"/>
      </w:pPr>
      <w:r>
        <w:rPr>
          <w:rFonts w:hint="eastAsia"/>
        </w:rPr>
        <w:t>1.</w:t>
      </w:r>
      <w:r>
        <w:rPr>
          <w:rFonts w:hint="eastAsia"/>
        </w:rPr>
        <w:t>概念及调查分析</w:t>
      </w:r>
    </w:p>
    <w:p w:rsidR="002555EA" w:rsidRDefault="005C2ED5" w:rsidP="00222ECC">
      <w:pPr>
        <w:spacing w:line="360" w:lineRule="auto"/>
      </w:pPr>
      <w:r>
        <w:rPr>
          <w:rFonts w:hint="eastAsia"/>
        </w:rPr>
        <w:t>交通规划的概念、起讫点调查、交通量与交通设施调查、道路交通管理调查等</w:t>
      </w:r>
    </w:p>
    <w:p w:rsidR="002555EA" w:rsidRDefault="005C2ED5" w:rsidP="00222ECC">
      <w:pPr>
        <w:spacing w:line="360" w:lineRule="auto"/>
      </w:pPr>
      <w:r>
        <w:rPr>
          <w:rFonts w:hint="eastAsia"/>
        </w:rPr>
        <w:t>2.</w:t>
      </w:r>
      <w:r>
        <w:rPr>
          <w:rFonts w:hint="eastAsia"/>
        </w:rPr>
        <w:t>交通需求预测</w:t>
      </w:r>
    </w:p>
    <w:p w:rsidR="002555EA" w:rsidRDefault="005C2ED5" w:rsidP="00222ECC">
      <w:pPr>
        <w:spacing w:line="360" w:lineRule="auto"/>
      </w:pPr>
      <w:r>
        <w:rPr>
          <w:rFonts w:hint="eastAsia"/>
        </w:rPr>
        <w:t>交通生成预测、交通分布预测、交通方式划分</w:t>
      </w:r>
    </w:p>
    <w:p w:rsidR="002555EA" w:rsidRDefault="005C2ED5" w:rsidP="00222ECC">
      <w:pPr>
        <w:spacing w:line="360" w:lineRule="auto"/>
      </w:pPr>
      <w:r>
        <w:rPr>
          <w:rFonts w:hint="eastAsia"/>
        </w:rPr>
        <w:t>3.</w:t>
      </w:r>
      <w:r>
        <w:rPr>
          <w:rFonts w:hint="eastAsia"/>
        </w:rPr>
        <w:t>交通网络分析</w:t>
      </w:r>
    </w:p>
    <w:p w:rsidR="002555EA" w:rsidRDefault="005C2ED5" w:rsidP="00222ECC">
      <w:pPr>
        <w:spacing w:line="360" w:lineRule="auto"/>
      </w:pPr>
      <w:r>
        <w:rPr>
          <w:rFonts w:hint="eastAsia"/>
        </w:rPr>
        <w:t>交通网络表示方法、阻抗分析方法、平衡分配及非平衡分配方法</w:t>
      </w:r>
    </w:p>
    <w:p w:rsidR="002555EA" w:rsidRDefault="005C2ED5" w:rsidP="00222ECC">
      <w:pPr>
        <w:spacing w:line="360" w:lineRule="auto"/>
      </w:pPr>
      <w:r>
        <w:rPr>
          <w:rFonts w:hint="eastAsia"/>
        </w:rPr>
        <w:t>4.</w:t>
      </w:r>
      <w:r>
        <w:rPr>
          <w:rFonts w:hint="eastAsia"/>
        </w:rPr>
        <w:t>城市综合规划及道路网规划</w:t>
      </w:r>
    </w:p>
    <w:p w:rsidR="002555EA" w:rsidRDefault="005C2ED5" w:rsidP="00222ECC">
      <w:pPr>
        <w:spacing w:line="360" w:lineRule="auto"/>
      </w:pPr>
      <w:r>
        <w:rPr>
          <w:rFonts w:hint="eastAsia"/>
        </w:rPr>
        <w:t>城市交通发展战略规划、中长期交通体系规划、近期治理规划、城市道路网布局规划</w:t>
      </w:r>
    </w:p>
    <w:p w:rsidR="002555EA" w:rsidRDefault="005C2ED5" w:rsidP="00222ECC">
      <w:pPr>
        <w:spacing w:line="360" w:lineRule="auto"/>
      </w:pPr>
      <w:r>
        <w:rPr>
          <w:rFonts w:hint="eastAsia"/>
        </w:rPr>
        <w:t>5.</w:t>
      </w:r>
      <w:r>
        <w:rPr>
          <w:rFonts w:hint="eastAsia"/>
        </w:rPr>
        <w:t>城市公共交通规划</w:t>
      </w:r>
    </w:p>
    <w:p w:rsidR="002555EA" w:rsidRDefault="005C2ED5" w:rsidP="00222ECC">
      <w:pPr>
        <w:spacing w:line="360" w:lineRule="auto"/>
      </w:pPr>
      <w:r>
        <w:rPr>
          <w:rFonts w:hint="eastAsia"/>
        </w:rPr>
        <w:t>城市轨道交通线网规划、城市常规公交系统规划</w:t>
      </w:r>
    </w:p>
    <w:p w:rsidR="002555EA" w:rsidRDefault="005C2ED5" w:rsidP="00222ECC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．停车设施规划</w:t>
      </w:r>
    </w:p>
    <w:p w:rsidR="002555EA" w:rsidRDefault="005C2ED5" w:rsidP="00222ECC">
      <w:pPr>
        <w:spacing w:line="360" w:lineRule="auto"/>
      </w:pPr>
      <w:r>
        <w:rPr>
          <w:rFonts w:hint="eastAsia"/>
        </w:rPr>
        <w:t>停车需求预测、停车布局规划、停车场规划方案评价</w:t>
      </w:r>
    </w:p>
    <w:p w:rsidR="002555EA" w:rsidRDefault="005C2ED5" w:rsidP="00222ECC">
      <w:pPr>
        <w:spacing w:line="360" w:lineRule="auto"/>
      </w:pPr>
      <w:r>
        <w:rPr>
          <w:rFonts w:hint="eastAsia"/>
        </w:rPr>
        <w:t>7.</w:t>
      </w:r>
      <w:r>
        <w:rPr>
          <w:rFonts w:hint="eastAsia"/>
        </w:rPr>
        <w:t>交通规划的综合评价方法</w:t>
      </w:r>
    </w:p>
    <w:p w:rsidR="002555EA" w:rsidRDefault="005C2ED5" w:rsidP="00222ECC">
      <w:pPr>
        <w:spacing w:line="360" w:lineRule="auto"/>
      </w:pPr>
      <w:r>
        <w:rPr>
          <w:rFonts w:hint="eastAsia"/>
        </w:rPr>
        <w:t>交通规划评价目标体系与评价指标、交通规划方案的综合评价方法</w:t>
      </w:r>
    </w:p>
    <w:p w:rsidR="002555EA" w:rsidRDefault="005C2ED5" w:rsidP="00222ECC">
      <w:pPr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考试题型（满分</w:t>
      </w:r>
      <w:r>
        <w:rPr>
          <w:rFonts w:hint="eastAsia"/>
          <w:b/>
          <w:bCs/>
          <w:sz w:val="24"/>
          <w:szCs w:val="24"/>
        </w:rPr>
        <w:t>100</w:t>
      </w:r>
      <w:r>
        <w:rPr>
          <w:rFonts w:hint="eastAsia"/>
          <w:b/>
          <w:bCs/>
          <w:sz w:val="24"/>
          <w:szCs w:val="24"/>
        </w:rPr>
        <w:t>分）</w:t>
      </w:r>
    </w:p>
    <w:p w:rsidR="002555EA" w:rsidRDefault="005C2ED5" w:rsidP="00222ECC">
      <w:pPr>
        <w:spacing w:line="360" w:lineRule="auto"/>
      </w:pPr>
      <w:r>
        <w:rPr>
          <w:rFonts w:hint="eastAsia"/>
        </w:rPr>
        <w:t>主要题型可能有：填空题、选择题、简答题、综合题等</w:t>
      </w:r>
    </w:p>
    <w:p w:rsidR="002555EA" w:rsidRDefault="005C2ED5" w:rsidP="00222ECC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四、参考书目</w:t>
      </w:r>
    </w:p>
    <w:p w:rsidR="002555EA" w:rsidRDefault="005C2ED5" w:rsidP="00222ECC">
      <w:pPr>
        <w:spacing w:line="360" w:lineRule="auto"/>
      </w:pPr>
      <w:r>
        <w:rPr>
          <w:rFonts w:hint="eastAsia"/>
          <w:szCs w:val="21"/>
        </w:rPr>
        <w:t>《交通规划》（第二版），王炜、陈学武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主编，人民交通出版社</w:t>
      </w:r>
      <w:r>
        <w:rPr>
          <w:rFonts w:ascii="Verdana" w:eastAsia="Verdana" w:hAnsi="Verdana" w:cs="Verdana"/>
          <w:color w:val="323232"/>
          <w:sz w:val="18"/>
          <w:szCs w:val="18"/>
          <w:shd w:val="clear" w:color="auto" w:fill="FFFFFF"/>
        </w:rPr>
        <w:t>ISBN：9787114135262</w:t>
      </w:r>
      <w:r>
        <w:rPr>
          <w:rFonts w:ascii="Verdana" w:eastAsia="宋体" w:hAnsi="Verdana" w:cs="Verdana" w:hint="eastAsia"/>
          <w:color w:val="323232"/>
          <w:sz w:val="18"/>
          <w:szCs w:val="18"/>
          <w:shd w:val="clear" w:color="auto" w:fill="FFFFFF"/>
        </w:rPr>
        <w:t xml:space="preserve"> </w:t>
      </w:r>
      <w:r>
        <w:rPr>
          <w:rFonts w:ascii="Verdana" w:eastAsia="宋体" w:hAnsi="Verdana" w:cs="Verdana" w:hint="eastAsia"/>
          <w:color w:val="323232"/>
          <w:sz w:val="18"/>
          <w:szCs w:val="18"/>
          <w:shd w:val="clear" w:color="auto" w:fill="FFFFFF"/>
        </w:rPr>
        <w:t>出版日期：</w:t>
      </w:r>
      <w:r>
        <w:rPr>
          <w:rFonts w:ascii="Verdana" w:eastAsia="宋体" w:hAnsi="Verdana" w:cs="Verdana"/>
          <w:color w:val="646464"/>
          <w:sz w:val="18"/>
          <w:szCs w:val="18"/>
          <w:shd w:val="clear" w:color="auto" w:fill="FFFFFF"/>
        </w:rPr>
        <w:t>2017</w:t>
      </w:r>
      <w:r>
        <w:rPr>
          <w:rFonts w:ascii="Verdana" w:eastAsia="宋体" w:hAnsi="Verdana" w:cs="Verdana" w:hint="eastAsia"/>
          <w:color w:val="646464"/>
          <w:sz w:val="18"/>
          <w:szCs w:val="18"/>
          <w:shd w:val="clear" w:color="auto" w:fill="FFFFFF"/>
        </w:rPr>
        <w:t>-</w:t>
      </w:r>
      <w:r>
        <w:rPr>
          <w:rFonts w:ascii="Verdana" w:eastAsia="宋体" w:hAnsi="Verdana" w:cs="Verdana"/>
          <w:color w:val="646464"/>
          <w:sz w:val="18"/>
          <w:szCs w:val="18"/>
          <w:shd w:val="clear" w:color="auto" w:fill="FFFFFF"/>
        </w:rPr>
        <w:t>01 </w:t>
      </w:r>
      <w:bookmarkEnd w:id="0"/>
    </w:p>
    <w:sectPr w:rsidR="00255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AB4" w:rsidRDefault="00FE5AB4" w:rsidP="00BB6919">
      <w:r>
        <w:separator/>
      </w:r>
    </w:p>
  </w:endnote>
  <w:endnote w:type="continuationSeparator" w:id="0">
    <w:p w:rsidR="00FE5AB4" w:rsidRDefault="00FE5AB4" w:rsidP="00BB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AB4" w:rsidRDefault="00FE5AB4" w:rsidP="00BB6919">
      <w:r>
        <w:separator/>
      </w:r>
    </w:p>
  </w:footnote>
  <w:footnote w:type="continuationSeparator" w:id="0">
    <w:p w:rsidR="00FE5AB4" w:rsidRDefault="00FE5AB4" w:rsidP="00BB6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8373FCE"/>
    <w:multiLevelType w:val="singleLevel"/>
    <w:tmpl w:val="E8373FC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202"/>
    <w:rsid w:val="001312CD"/>
    <w:rsid w:val="00222ECC"/>
    <w:rsid w:val="002555EA"/>
    <w:rsid w:val="005C2ED5"/>
    <w:rsid w:val="00B15CB8"/>
    <w:rsid w:val="00BB6919"/>
    <w:rsid w:val="00BC69B3"/>
    <w:rsid w:val="00DC722E"/>
    <w:rsid w:val="00E04202"/>
    <w:rsid w:val="00F051A0"/>
    <w:rsid w:val="00FE5AB4"/>
    <w:rsid w:val="26AD58FF"/>
    <w:rsid w:val="349E387F"/>
    <w:rsid w:val="4C1B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01E104-0872-4703-A6B1-4B9399F7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BB6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B69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B6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B691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>china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guobh001@outlook.com</cp:lastModifiedBy>
  <cp:revision>5</cp:revision>
  <dcterms:created xsi:type="dcterms:W3CDTF">2019-09-16T02:54:00Z</dcterms:created>
  <dcterms:modified xsi:type="dcterms:W3CDTF">2019-09-18T04:06:00Z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