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eastAsia="zh-CN"/>
        </w:rPr>
      </w:pPr>
      <w:r>
        <w:rPr>
          <w:rFonts w:hint="eastAsia"/>
          <w:b/>
          <w:bCs/>
          <w:sz w:val="40"/>
          <w:szCs w:val="40"/>
          <w:lang w:val="en-US" w:eastAsia="zh-CN"/>
        </w:rPr>
        <w:t>2018年</w:t>
      </w:r>
      <w:r>
        <w:rPr>
          <w:rFonts w:hint="eastAsia"/>
          <w:b/>
          <w:bCs/>
          <w:sz w:val="40"/>
          <w:szCs w:val="40"/>
          <w:lang w:eastAsia="zh-CN"/>
        </w:rPr>
        <w:t>河南理工大学应急管理学院公共管理</w:t>
      </w:r>
    </w:p>
    <w:p>
      <w:pPr>
        <w:jc w:val="center"/>
        <w:rPr>
          <w:rFonts w:hint="eastAsia"/>
          <w:b/>
          <w:bCs/>
          <w:sz w:val="40"/>
          <w:szCs w:val="40"/>
          <w:lang w:val="en-US" w:eastAsia="zh-CN"/>
        </w:rPr>
      </w:pPr>
      <w:r>
        <w:rPr>
          <w:rFonts w:hint="eastAsia"/>
          <w:b/>
          <w:bCs/>
          <w:sz w:val="40"/>
          <w:szCs w:val="40"/>
          <w:lang w:eastAsia="zh-CN"/>
        </w:rPr>
        <w:t>专业研究生</w:t>
      </w:r>
      <w:r>
        <w:rPr>
          <w:rFonts w:hint="eastAsia"/>
          <w:b/>
          <w:bCs/>
          <w:sz w:val="40"/>
          <w:szCs w:val="40"/>
          <w:lang w:val="en-US" w:eastAsia="zh-CN"/>
        </w:rPr>
        <w:t>招生简章</w:t>
      </w:r>
    </w:p>
    <w:p>
      <w:pPr>
        <w:spacing w:beforeLines="50" w:afterLines="50"/>
        <w:rPr>
          <w:rFonts w:ascii="黑体" w:hAnsi="宋体" w:eastAsia="黑体"/>
          <w:b/>
          <w:color w:val="000000"/>
          <w:sz w:val="28"/>
          <w:szCs w:val="28"/>
        </w:rPr>
      </w:pPr>
      <w:r>
        <w:rPr>
          <w:rFonts w:ascii="黑体" w:hAnsi="宋体" w:eastAsia="黑体"/>
          <w:b/>
          <w:color w:val="000000"/>
          <w:sz w:val="28"/>
          <w:szCs w:val="28"/>
        </w:rPr>
        <w:t>一、学科简介</w:t>
      </w:r>
    </w:p>
    <w:p>
      <w:pPr>
        <w:pStyle w:val="2"/>
        <w:spacing w:line="440" w:lineRule="exact"/>
        <w:ind w:firstLineChars="0"/>
        <w:rPr>
          <w:rFonts w:hAnsi="宋体"/>
          <w:color w:val="000000"/>
        </w:rPr>
      </w:pPr>
      <w:r>
        <w:rPr>
          <w:rFonts w:hAnsi="宋体"/>
          <w:color w:val="000000"/>
        </w:rPr>
        <w:t>我校公共管理学科的发展始于1991年的土地规划专业、2002年的公共事业管理专业及2004年的公共安全管理专业。2008年获得土地资源管理二级学科硕士点，2011年获公共管理一级学科硕士学位授权点。本学科包含行政管理、社会保障、教育经济与管理、公共体育事业管理、音乐教育管理、外事管理、文化事业管理</w:t>
      </w:r>
      <w:r>
        <w:rPr>
          <w:rFonts w:hint="eastAsia" w:hAnsi="宋体"/>
          <w:color w:val="000000"/>
          <w:lang w:eastAsia="zh-CN"/>
        </w:rPr>
        <w:t>以及公共政策与旅游发展</w:t>
      </w:r>
      <w:r>
        <w:rPr>
          <w:rFonts w:hAnsi="宋体"/>
          <w:color w:val="000000"/>
        </w:rPr>
        <w:t>等二级学科，涉及管理学、政治学、教育学、经济学等学科领域，具有实践性强、多学科综合的鲜明特色。近五年来，主持省部级以上科研项目</w:t>
      </w:r>
      <w:r>
        <w:rPr>
          <w:rFonts w:hint="eastAsia" w:hAnsi="宋体"/>
          <w:color w:val="000000"/>
        </w:rPr>
        <w:t>100余项</w:t>
      </w:r>
      <w:r>
        <w:rPr>
          <w:rFonts w:hAnsi="宋体"/>
          <w:color w:val="000000"/>
        </w:rPr>
        <w:t>，</w:t>
      </w:r>
      <w:r>
        <w:rPr>
          <w:rFonts w:hint="eastAsia" w:hAnsi="宋体"/>
          <w:color w:val="000000"/>
        </w:rPr>
        <w:t>在CSSCI、CSCD、SSCI等重要期刊发表论文200余篇，</w:t>
      </w:r>
      <w:r>
        <w:rPr>
          <w:rFonts w:hAnsi="宋体"/>
          <w:color w:val="000000"/>
        </w:rPr>
        <w:t>获得</w:t>
      </w:r>
      <w:r>
        <w:rPr>
          <w:rFonts w:hint="eastAsia" w:hAnsi="宋体"/>
          <w:color w:val="000000"/>
        </w:rPr>
        <w:t>10余项</w:t>
      </w:r>
      <w:r>
        <w:rPr>
          <w:rFonts w:hAnsi="宋体"/>
          <w:color w:val="000000"/>
        </w:rPr>
        <w:t>省部级</w:t>
      </w:r>
      <w:r>
        <w:rPr>
          <w:rFonts w:hint="eastAsia" w:hAnsi="宋体"/>
          <w:color w:val="000000"/>
        </w:rPr>
        <w:t>以上</w:t>
      </w:r>
      <w:r>
        <w:rPr>
          <w:rFonts w:hAnsi="宋体"/>
          <w:color w:val="000000"/>
        </w:rPr>
        <w:t>奖励、出版</w:t>
      </w:r>
      <w:r>
        <w:rPr>
          <w:rFonts w:hint="eastAsia" w:hAnsi="宋体"/>
          <w:color w:val="000000"/>
        </w:rPr>
        <w:t>10余部</w:t>
      </w:r>
      <w:r>
        <w:rPr>
          <w:rFonts w:hAnsi="宋体"/>
          <w:color w:val="000000"/>
        </w:rPr>
        <w:t>专著及教材。</w:t>
      </w:r>
    </w:p>
    <w:p>
      <w:pPr>
        <w:spacing w:beforeLines="50" w:afterLines="50"/>
        <w:rPr>
          <w:rFonts w:ascii="黑体" w:hAnsi="宋体" w:eastAsia="黑体"/>
          <w:b/>
          <w:color w:val="000000"/>
          <w:sz w:val="28"/>
          <w:szCs w:val="28"/>
        </w:rPr>
      </w:pPr>
      <w:r>
        <w:rPr>
          <w:rFonts w:ascii="黑体" w:hAnsi="宋体" w:eastAsia="黑体"/>
          <w:b/>
          <w:color w:val="000000"/>
          <w:sz w:val="28"/>
          <w:szCs w:val="28"/>
        </w:rPr>
        <w:t>二、培养目标</w:t>
      </w:r>
    </w:p>
    <w:p>
      <w:pPr>
        <w:pStyle w:val="2"/>
        <w:spacing w:line="440" w:lineRule="exact"/>
        <w:ind w:firstLineChars="0"/>
        <w:rPr>
          <w:rFonts w:hAnsi="宋体"/>
          <w:color w:val="000000"/>
        </w:rPr>
      </w:pPr>
      <w:r>
        <w:rPr>
          <w:rFonts w:hAnsi="宋体"/>
          <w:color w:val="000000"/>
        </w:rPr>
        <w:t>培养德、智、体全面发展的高级专业人才</w:t>
      </w:r>
      <w:r>
        <w:rPr>
          <w:rFonts w:hint="eastAsia" w:hAnsi="宋体"/>
          <w:color w:val="000000"/>
          <w:lang w:eastAsia="zh-CN"/>
        </w:rPr>
        <w:t>。</w:t>
      </w:r>
      <w:r>
        <w:rPr>
          <w:rFonts w:hAnsi="宋体"/>
          <w:color w:val="000000"/>
        </w:rPr>
        <w:t>具有严谨、求实、创新的科学作风和良好的学术道德，诚信公正，有社会责任感；应掌握公共管理学科宽广的基础理论和系统的专门知识，熟悉所从事研究工作的新发展和新方向，掌握科学研究的基本思路、方法和专业技能，具有一定的创新能力和独立思考、解决问题的能力；熟练地掌握一门外国语，能熟练阅读专业文献、撰写科技论文,具有一定的听、说能力</w:t>
      </w:r>
      <w:r>
        <w:rPr>
          <w:rFonts w:hint="eastAsia" w:hAnsi="宋体"/>
          <w:color w:val="000000"/>
          <w:lang w:eastAsia="zh-CN"/>
        </w:rPr>
        <w:t>；身心健康</w:t>
      </w:r>
      <w:r>
        <w:rPr>
          <w:rFonts w:hAnsi="宋体"/>
          <w:color w:val="000000"/>
        </w:rPr>
        <w:t>。</w:t>
      </w:r>
    </w:p>
    <w:p>
      <w:pPr>
        <w:numPr>
          <w:ilvl w:val="0"/>
          <w:numId w:val="0"/>
        </w:numPr>
        <w:ind w:firstLine="420" w:firstLineChars="200"/>
        <w:rPr>
          <w:rFonts w:hint="eastAsia"/>
          <w:sz w:val="21"/>
          <w:szCs w:val="21"/>
          <w:lang w:val="en-US" w:eastAsia="zh-CN"/>
        </w:rPr>
      </w:pPr>
    </w:p>
    <w:p>
      <w:pPr>
        <w:spacing w:beforeLines="50" w:afterLines="50"/>
        <w:rPr>
          <w:rFonts w:hint="eastAsia" w:ascii="黑体" w:hAnsi="宋体" w:eastAsia="黑体"/>
          <w:b/>
          <w:color w:val="000000"/>
          <w:sz w:val="28"/>
          <w:szCs w:val="28"/>
          <w:lang w:eastAsia="zh-CN"/>
        </w:rPr>
      </w:pPr>
      <w:r>
        <w:rPr>
          <w:rFonts w:hint="eastAsia" w:ascii="黑体" w:hAnsi="宋体" w:eastAsia="黑体"/>
          <w:b/>
          <w:color w:val="000000"/>
          <w:sz w:val="28"/>
          <w:szCs w:val="28"/>
          <w:lang w:eastAsia="zh-CN"/>
        </w:rPr>
        <w:t>三、报考条件</w:t>
      </w:r>
    </w:p>
    <w:p>
      <w:pPr>
        <w:keepNext w:val="0"/>
        <w:keepLines w:val="0"/>
        <w:pageBreakBefore w:val="0"/>
        <w:widowControl/>
        <w:kinsoku/>
        <w:wordWrap/>
        <w:overflowPunct/>
        <w:topLinePunct w:val="0"/>
        <w:autoSpaceDE/>
        <w:autoSpaceDN/>
        <w:bidi w:val="0"/>
        <w:adjustRightInd/>
        <w:snapToGrid/>
        <w:spacing w:line="440" w:lineRule="atLeast"/>
        <w:ind w:left="0" w:leftChars="0" w:right="0" w:rightChars="0" w:firstLine="480" w:firstLineChars="200"/>
        <w:jc w:val="left"/>
        <w:textAlignment w:val="auto"/>
        <w:outlineLvl w:val="9"/>
        <w:rPr>
          <w:rFonts w:hint="eastAsia" w:ascii="Times New Roman" w:hAnsi="宋体" w:eastAsia="宋体" w:cs="Times New Roman"/>
          <w:color w:val="000000"/>
          <w:kern w:val="2"/>
          <w:sz w:val="24"/>
          <w:szCs w:val="24"/>
          <w:lang w:val="en-US" w:eastAsia="zh-CN" w:bidi="ar-SA"/>
        </w:rPr>
      </w:pPr>
      <w:r>
        <w:rPr>
          <w:rFonts w:hint="eastAsia" w:ascii="Times New Roman" w:hAnsi="宋体" w:eastAsia="宋体" w:cs="Times New Roman"/>
          <w:color w:val="000000"/>
          <w:kern w:val="2"/>
          <w:sz w:val="24"/>
          <w:szCs w:val="24"/>
          <w:lang w:val="en-US" w:eastAsia="zh-CN" w:bidi="ar-SA"/>
        </w:rPr>
        <w:t>凡国家承认学历的应届或往届本科毕业生均可报考；获得国家承认的高职高专毕业学历后满2年（从毕业后到录取当年9月1日）或2年以上并达到与大学本科毕业同等学力，以及国家承认学历的本科结业生，均按本科毕业生同等学力身份报考我校相同或相近专业研究生，但不接收同等学力人员跨专业报考。对成人教育应届本科毕业生及复试时尚未取得本科毕业证书的自考和网络教育考生，由各学院自主确定是否加试。</w:t>
      </w:r>
    </w:p>
    <w:p>
      <w:pPr>
        <w:numPr>
          <w:ilvl w:val="0"/>
          <w:numId w:val="0"/>
        </w:numPr>
        <w:rPr>
          <w:rFonts w:hint="eastAsia" w:ascii="Times New Roman" w:hAnsi="宋体" w:eastAsia="宋体" w:cs="Times New Roman"/>
          <w:color w:val="000000"/>
          <w:kern w:val="2"/>
          <w:sz w:val="24"/>
          <w:szCs w:val="24"/>
          <w:lang w:val="en-US" w:eastAsia="zh-CN" w:bidi="ar-SA"/>
        </w:rPr>
      </w:pPr>
    </w:p>
    <w:p>
      <w:pPr>
        <w:spacing w:beforeLines="50" w:afterLines="50"/>
        <w:rPr>
          <w:rFonts w:hint="eastAsia" w:ascii="黑体" w:hAnsi="宋体" w:eastAsia="黑体"/>
          <w:b/>
          <w:color w:val="000000"/>
          <w:sz w:val="28"/>
          <w:szCs w:val="28"/>
          <w:lang w:eastAsia="zh-CN"/>
        </w:rPr>
      </w:pPr>
      <w:r>
        <w:rPr>
          <w:rFonts w:hint="eastAsia" w:ascii="黑体" w:hAnsi="宋体" w:eastAsia="黑体"/>
          <w:b/>
          <w:color w:val="000000"/>
          <w:sz w:val="28"/>
          <w:szCs w:val="28"/>
          <w:lang w:eastAsia="zh-CN"/>
        </w:rPr>
        <w:t>四、学制与学费</w:t>
      </w:r>
    </w:p>
    <w:p>
      <w:pPr>
        <w:numPr>
          <w:ilvl w:val="0"/>
          <w:numId w:val="0"/>
        </w:numPr>
        <w:rPr>
          <w:rFonts w:hint="eastAsia"/>
          <w:sz w:val="21"/>
          <w:szCs w:val="21"/>
          <w:lang w:eastAsia="zh-CN"/>
        </w:rPr>
      </w:pPr>
    </w:p>
    <w:p>
      <w:pPr>
        <w:keepNext w:val="0"/>
        <w:keepLines w:val="0"/>
        <w:pageBreakBefore w:val="0"/>
        <w:widowControl/>
        <w:kinsoku/>
        <w:wordWrap/>
        <w:overflowPunct/>
        <w:topLinePunct w:val="0"/>
        <w:autoSpaceDE/>
        <w:autoSpaceDN/>
        <w:bidi w:val="0"/>
        <w:adjustRightInd/>
        <w:snapToGrid/>
        <w:spacing w:line="440" w:lineRule="atLeast"/>
        <w:ind w:left="0" w:leftChars="0" w:right="0" w:rightChars="0" w:firstLine="480" w:firstLineChars="200"/>
        <w:jc w:val="left"/>
        <w:textAlignment w:val="auto"/>
        <w:outlineLvl w:val="9"/>
        <w:rPr>
          <w:rFonts w:hint="eastAsia" w:ascii="Times New Roman" w:hAnsi="宋体" w:eastAsia="宋体" w:cs="Times New Roman"/>
          <w:color w:val="000000"/>
          <w:kern w:val="2"/>
          <w:sz w:val="24"/>
          <w:szCs w:val="24"/>
          <w:lang w:val="en-US" w:eastAsia="zh-CN" w:bidi="ar-SA"/>
        </w:rPr>
      </w:pPr>
      <w:r>
        <w:rPr>
          <w:rFonts w:hint="eastAsia" w:ascii="Times New Roman" w:hAnsi="宋体" w:eastAsia="宋体" w:cs="Times New Roman"/>
          <w:color w:val="000000"/>
          <w:kern w:val="2"/>
          <w:sz w:val="24"/>
          <w:szCs w:val="24"/>
          <w:lang w:val="en-US" w:eastAsia="zh-CN" w:bidi="ar-SA"/>
        </w:rPr>
        <w:t>学制为3年，培养方式为全日制，学费8000元/年·人。</w:t>
      </w:r>
    </w:p>
    <w:p>
      <w:pPr>
        <w:spacing w:beforeLines="50" w:afterLines="50"/>
        <w:rPr>
          <w:rFonts w:hint="eastAsia" w:ascii="黑体" w:hAnsi="宋体" w:eastAsia="黑体"/>
          <w:b/>
          <w:color w:val="000000"/>
          <w:sz w:val="28"/>
          <w:szCs w:val="28"/>
          <w:lang w:eastAsia="zh-CN"/>
        </w:rPr>
      </w:pPr>
      <w:r>
        <w:rPr>
          <w:rFonts w:hint="eastAsia" w:ascii="黑体" w:hAnsi="宋体" w:eastAsia="黑体"/>
          <w:b/>
          <w:color w:val="000000"/>
          <w:sz w:val="28"/>
          <w:szCs w:val="28"/>
          <w:lang w:eastAsia="zh-CN"/>
        </w:rPr>
        <w:t>五、报名时间</w:t>
      </w:r>
    </w:p>
    <w:p>
      <w:pPr>
        <w:widowControl/>
        <w:spacing w:line="270" w:lineRule="atLeast"/>
        <w:ind w:firstLine="840" w:firstLineChars="300"/>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网上预报名2017年9月24日～9月27日每天9:00～22:00；网上正式报名2017年10月10日～10月31日每天9:00～22:00；现场确认时间</w:t>
      </w:r>
      <w:r>
        <w:rPr>
          <w:rFonts w:hint="eastAsia" w:ascii="仿宋_GB2312" w:hAnsi="华文仿宋" w:eastAsia="仿宋_GB2312" w:cs="Arial"/>
          <w:b/>
          <w:bCs/>
          <w:sz w:val="28"/>
          <w:szCs w:val="28"/>
        </w:rPr>
        <w:t>以各省级教育招生考试管理机构公布时间为准</w:t>
      </w:r>
      <w:r>
        <w:rPr>
          <w:rFonts w:hint="eastAsia" w:ascii="仿宋_GB2312" w:hAnsi="华文仿宋" w:eastAsia="仿宋_GB2312" w:cs="Arial"/>
          <w:bCs/>
          <w:sz w:val="28"/>
          <w:szCs w:val="28"/>
        </w:rPr>
        <w:t>；登录研招网下载并打印《准考证》12月14日～12月25日；考试12月23日～12月24日。（详情请登录报名网站http://yz.chsi.com.cn中国研究生招生信息网）</w:t>
      </w:r>
    </w:p>
    <w:p>
      <w:pPr>
        <w:widowControl/>
        <w:spacing w:line="620" w:lineRule="exac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lang w:eastAsia="zh-CN"/>
        </w:rPr>
        <w:t>六</w:t>
      </w:r>
      <w:r>
        <w:rPr>
          <w:rFonts w:hint="eastAsia" w:ascii="仿宋_GB2312" w:hAnsi="宋体" w:eastAsia="仿宋_GB2312" w:cs="宋体"/>
          <w:b/>
          <w:bCs/>
          <w:kern w:val="0"/>
          <w:sz w:val="28"/>
          <w:szCs w:val="28"/>
        </w:rPr>
        <w:t>、奖助政策</w:t>
      </w:r>
    </w:p>
    <w:p>
      <w:pPr>
        <w:widowControl/>
        <w:shd w:val="clear" w:color="auto" w:fill="FFFFFF"/>
        <w:spacing w:line="620" w:lineRule="exact"/>
        <w:ind w:firstLine="560" w:firstLineChars="200"/>
        <w:jc w:val="left"/>
        <w:rPr>
          <w:rFonts w:hint="eastAsia"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学校设立优秀生源奖，对于报考我校并被录取的全日制研究生优秀考生给予一定奖励，奖励金额为2000-24000元/生，具体见《河南理工大学研究生优秀生源奖励办法（修订）》。</w:t>
      </w:r>
    </w:p>
    <w:p>
      <w:pPr>
        <w:widowControl/>
        <w:shd w:val="clear" w:color="auto" w:fill="FFFFFF"/>
        <w:spacing w:line="6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2．我校所有非定向</w:t>
      </w:r>
      <w:r>
        <w:rPr>
          <w:rFonts w:hint="eastAsia" w:ascii="仿宋_GB2312" w:hAnsi="宋体" w:eastAsia="仿宋_GB2312" w:cs="宋体"/>
          <w:kern w:val="0"/>
          <w:sz w:val="28"/>
          <w:szCs w:val="28"/>
        </w:rPr>
        <w:t>全日制</w:t>
      </w:r>
      <w:r>
        <w:rPr>
          <w:rFonts w:ascii="仿宋_GB2312" w:hAnsi="宋体" w:eastAsia="仿宋_GB2312" w:cs="宋体"/>
          <w:kern w:val="0"/>
          <w:sz w:val="28"/>
          <w:szCs w:val="28"/>
        </w:rPr>
        <w:t>研究生（有固定工资收入的除外）均可获得国家助学金（6000元/学年</w:t>
      </w:r>
      <w:r>
        <w:rPr>
          <w:rFonts w:hint="eastAsia" w:ascii="仿宋_GB2312" w:hAnsi="宋体" w:eastAsia="仿宋_GB2312" w:cs="宋体"/>
          <w:kern w:val="0"/>
          <w:sz w:val="28"/>
          <w:szCs w:val="28"/>
        </w:rPr>
        <w:t>·</w:t>
      </w:r>
      <w:r>
        <w:rPr>
          <w:rFonts w:ascii="仿宋_GB2312" w:hAnsi="宋体" w:eastAsia="仿宋_GB2312" w:cs="宋体"/>
          <w:kern w:val="0"/>
          <w:sz w:val="28"/>
          <w:szCs w:val="28"/>
        </w:rPr>
        <w:t>生）和学业奖学金（4000～</w:t>
      </w:r>
      <w:r>
        <w:rPr>
          <w:rFonts w:hint="eastAsia" w:ascii="仿宋_GB2312" w:hAnsi="宋体" w:eastAsia="仿宋_GB2312" w:cs="宋体"/>
          <w:kern w:val="0"/>
          <w:sz w:val="28"/>
          <w:szCs w:val="28"/>
        </w:rPr>
        <w:t>12</w:t>
      </w:r>
      <w:r>
        <w:rPr>
          <w:rFonts w:ascii="仿宋_GB2312" w:hAnsi="宋体" w:eastAsia="仿宋_GB2312" w:cs="宋体"/>
          <w:kern w:val="0"/>
          <w:sz w:val="28"/>
          <w:szCs w:val="28"/>
        </w:rPr>
        <w:t>000元/学年</w:t>
      </w:r>
      <w:r>
        <w:rPr>
          <w:rFonts w:hint="eastAsia" w:ascii="仿宋_GB2312" w:hAnsi="宋体" w:eastAsia="仿宋_GB2312" w:cs="宋体"/>
          <w:kern w:val="0"/>
          <w:sz w:val="28"/>
          <w:szCs w:val="28"/>
        </w:rPr>
        <w:t>·</w:t>
      </w:r>
      <w:r>
        <w:rPr>
          <w:rFonts w:ascii="仿宋_GB2312" w:hAnsi="宋体" w:eastAsia="仿宋_GB2312" w:cs="宋体"/>
          <w:kern w:val="0"/>
          <w:sz w:val="28"/>
          <w:szCs w:val="28"/>
        </w:rPr>
        <w:t>生），并有机会获得国家奖学金（20000元/学年</w:t>
      </w:r>
      <w:r>
        <w:rPr>
          <w:rFonts w:hint="eastAsia" w:ascii="仿宋_GB2312" w:hAnsi="宋体" w:eastAsia="仿宋_GB2312" w:cs="宋体"/>
          <w:kern w:val="0"/>
          <w:sz w:val="28"/>
          <w:szCs w:val="28"/>
        </w:rPr>
        <w:t>·</w:t>
      </w:r>
      <w:r>
        <w:rPr>
          <w:rFonts w:ascii="仿宋_GB2312" w:hAnsi="宋体" w:eastAsia="仿宋_GB2312" w:cs="宋体"/>
          <w:kern w:val="0"/>
          <w:sz w:val="28"/>
          <w:szCs w:val="28"/>
        </w:rPr>
        <w:t>生）</w:t>
      </w:r>
      <w:r>
        <w:rPr>
          <w:rFonts w:hint="eastAsia" w:ascii="仿宋_GB2312" w:hAnsi="宋体" w:eastAsia="仿宋_GB2312" w:cs="宋体"/>
          <w:kern w:val="0"/>
          <w:sz w:val="28"/>
          <w:szCs w:val="28"/>
        </w:rPr>
        <w:t>；所有研究生均有机会获得</w:t>
      </w:r>
      <w:r>
        <w:rPr>
          <w:rFonts w:ascii="仿宋_GB2312" w:hAnsi="宋体" w:eastAsia="仿宋_GB2312" w:cs="宋体"/>
          <w:kern w:val="0"/>
          <w:sz w:val="28"/>
          <w:szCs w:val="28"/>
        </w:rPr>
        <w:t>朱训奖学金（2000元/生）、创新性成果奖励（发表论文最高奖励</w:t>
      </w:r>
      <w:r>
        <w:rPr>
          <w:rFonts w:hint="eastAsia" w:ascii="仿宋_GB2312" w:hAnsi="宋体" w:eastAsia="仿宋_GB2312" w:cs="宋体"/>
          <w:kern w:val="0"/>
          <w:sz w:val="28"/>
          <w:szCs w:val="28"/>
        </w:rPr>
        <w:t>4</w:t>
      </w:r>
      <w:r>
        <w:rPr>
          <w:rFonts w:ascii="仿宋_GB2312" w:hAnsi="宋体" w:eastAsia="仿宋_GB2312" w:cs="宋体"/>
          <w:kern w:val="0"/>
          <w:sz w:val="28"/>
          <w:szCs w:val="28"/>
        </w:rPr>
        <w:t>0000元/篇、专利最高奖励6000元/项、竞赛最高奖励12000元）等。此外，部分学院还设有学科建设基金、学科发展基金、院士奖学金、英才奖学金等。</w:t>
      </w:r>
    </w:p>
    <w:p>
      <w:pPr>
        <w:widowControl/>
        <w:spacing w:line="270" w:lineRule="atLeas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3</w:t>
      </w:r>
      <w:r>
        <w:rPr>
          <w:rFonts w:ascii="仿宋_GB2312" w:hAnsi="宋体" w:eastAsia="仿宋_GB2312" w:cs="宋体"/>
          <w:kern w:val="0"/>
          <w:sz w:val="28"/>
          <w:szCs w:val="28"/>
        </w:rPr>
        <w:t>．学校设有助学贷款</w:t>
      </w:r>
      <w:r>
        <w:rPr>
          <w:rFonts w:hint="eastAsia" w:ascii="仿宋_GB2312" w:hAnsi="宋体" w:eastAsia="仿宋_GB2312" w:cs="宋体"/>
          <w:kern w:val="0"/>
          <w:sz w:val="28"/>
          <w:szCs w:val="28"/>
        </w:rPr>
        <w:t>（贷款最高限额12000元/学年·</w:t>
      </w:r>
      <w:r>
        <w:rPr>
          <w:rFonts w:ascii="仿宋_GB2312" w:hAnsi="宋体" w:eastAsia="仿宋_GB2312" w:cs="宋体"/>
          <w:kern w:val="0"/>
          <w:sz w:val="28"/>
          <w:szCs w:val="28"/>
        </w:rPr>
        <w:t>生</w:t>
      </w:r>
      <w:r>
        <w:rPr>
          <w:rFonts w:hint="eastAsia" w:ascii="仿宋_GB2312" w:hAnsi="宋体" w:eastAsia="仿宋_GB2312" w:cs="宋体"/>
          <w:kern w:val="0"/>
          <w:sz w:val="28"/>
          <w:szCs w:val="28"/>
        </w:rPr>
        <w:t>）</w:t>
      </w:r>
      <w:r>
        <w:rPr>
          <w:rFonts w:ascii="仿宋_GB2312" w:hAnsi="宋体" w:eastAsia="仿宋_GB2312" w:cs="宋体"/>
          <w:kern w:val="0"/>
          <w:sz w:val="28"/>
          <w:szCs w:val="28"/>
        </w:rPr>
        <w:t>、减免学费、发放特殊困难补助、“绿色通道”和“三助”等奖助措施，对家庭经济困难的</w:t>
      </w:r>
      <w:r>
        <w:rPr>
          <w:rFonts w:hint="eastAsia" w:ascii="仿宋_GB2312" w:hAnsi="宋体" w:eastAsia="仿宋_GB2312" w:cs="宋体"/>
          <w:kern w:val="0"/>
          <w:sz w:val="28"/>
          <w:szCs w:val="28"/>
        </w:rPr>
        <w:t>全日制</w:t>
      </w:r>
      <w:r>
        <w:rPr>
          <w:rFonts w:ascii="仿宋_GB2312" w:hAnsi="宋体" w:eastAsia="仿宋_GB2312" w:cs="宋体"/>
          <w:kern w:val="0"/>
          <w:sz w:val="28"/>
          <w:szCs w:val="28"/>
        </w:rPr>
        <w:t>研究生进行资助</w:t>
      </w:r>
      <w:r>
        <w:rPr>
          <w:rFonts w:hint="eastAsia" w:ascii="仿宋_GB2312" w:hAnsi="宋体" w:eastAsia="仿宋_GB2312" w:cs="宋体"/>
          <w:kern w:val="0"/>
          <w:sz w:val="28"/>
          <w:szCs w:val="28"/>
        </w:rPr>
        <w:t>，</w:t>
      </w:r>
      <w:r>
        <w:rPr>
          <w:rFonts w:ascii="仿宋_GB2312" w:hAnsi="宋体" w:eastAsia="仿宋_GB2312" w:cs="宋体"/>
          <w:kern w:val="0"/>
          <w:sz w:val="28"/>
          <w:szCs w:val="28"/>
        </w:rPr>
        <w:t>我校对于符合条件的贫困生确保做到</w:t>
      </w:r>
      <w:r>
        <w:rPr>
          <w:rFonts w:hint="eastAsia" w:ascii="仿宋_GB2312" w:hAnsi="宋体" w:eastAsia="仿宋_GB2312" w:cs="宋体"/>
          <w:kern w:val="0"/>
          <w:sz w:val="28"/>
          <w:szCs w:val="28"/>
        </w:rPr>
        <w:t>“</w:t>
      </w:r>
      <w:r>
        <w:rPr>
          <w:rFonts w:ascii="仿宋_GB2312" w:hAnsi="宋体" w:eastAsia="仿宋_GB2312" w:cs="宋体"/>
          <w:kern w:val="0"/>
          <w:sz w:val="28"/>
          <w:szCs w:val="28"/>
        </w:rPr>
        <w:t>应贷尽贷</w:t>
      </w:r>
      <w:r>
        <w:rPr>
          <w:rFonts w:hint="eastAsia" w:ascii="仿宋_GB2312" w:hAnsi="宋体" w:eastAsia="仿宋_GB2312" w:cs="宋体"/>
          <w:kern w:val="0"/>
          <w:sz w:val="28"/>
          <w:szCs w:val="28"/>
        </w:rPr>
        <w:t>”</w:t>
      </w:r>
      <w:r>
        <w:rPr>
          <w:rFonts w:ascii="仿宋_GB2312" w:hAnsi="宋体" w:eastAsia="仿宋_GB2312" w:cs="宋体"/>
          <w:kern w:val="0"/>
          <w:sz w:val="28"/>
          <w:szCs w:val="28"/>
        </w:rPr>
        <w:t>。</w:t>
      </w:r>
    </w:p>
    <w:p>
      <w:pPr>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4</w:t>
      </w:r>
      <w:r>
        <w:rPr>
          <w:rFonts w:ascii="仿宋_GB2312" w:hAnsi="宋体" w:eastAsia="仿宋_GB2312" w:cs="宋体"/>
          <w:kern w:val="0"/>
          <w:sz w:val="28"/>
          <w:szCs w:val="28"/>
        </w:rPr>
        <w:t>．学校</w:t>
      </w:r>
      <w:r>
        <w:rPr>
          <w:rFonts w:hint="eastAsia" w:ascii="仿宋_GB2312" w:hAnsi="宋体" w:eastAsia="仿宋_GB2312" w:cs="宋体"/>
          <w:kern w:val="0"/>
          <w:sz w:val="28"/>
          <w:szCs w:val="28"/>
        </w:rPr>
        <w:t>支持</w:t>
      </w:r>
      <w:r>
        <w:rPr>
          <w:rFonts w:ascii="仿宋_GB2312" w:hAnsi="宋体" w:eastAsia="仿宋_GB2312" w:cs="宋体"/>
          <w:kern w:val="0"/>
          <w:sz w:val="28"/>
          <w:szCs w:val="28"/>
        </w:rPr>
        <w:t>研究生</w:t>
      </w:r>
      <w:r>
        <w:rPr>
          <w:rFonts w:hint="eastAsia" w:ascii="仿宋_GB2312" w:hAnsi="宋体" w:eastAsia="仿宋_GB2312" w:cs="宋体"/>
          <w:kern w:val="0"/>
          <w:sz w:val="28"/>
          <w:szCs w:val="28"/>
        </w:rPr>
        <w:t>参加</w:t>
      </w:r>
      <w:r>
        <w:rPr>
          <w:rFonts w:ascii="仿宋_GB2312" w:hAnsi="宋体" w:eastAsia="仿宋_GB2312" w:cs="宋体"/>
          <w:kern w:val="0"/>
          <w:sz w:val="28"/>
          <w:szCs w:val="28"/>
        </w:rPr>
        <w:t>国际交流活动。研究生短期访学最高资助30000元，参加国际学术会议最高资助15000元，国（境）外高校攻读博士奖励10000元，国际英语认证考试（雅思、托福、GRE、GMAT）最高资助3000元。</w:t>
      </w:r>
    </w:p>
    <w:p>
      <w:pPr>
        <w:widowControl/>
        <w:spacing w:line="560" w:lineRule="exact"/>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lang w:eastAsia="zh-CN"/>
        </w:rPr>
        <w:t>七</w:t>
      </w:r>
      <w:r>
        <w:rPr>
          <w:rFonts w:hint="eastAsia" w:ascii="仿宋_GB2312" w:hAnsi="华文仿宋" w:eastAsia="仿宋_GB2312" w:cs="Arial"/>
          <w:bCs/>
          <w:sz w:val="28"/>
          <w:szCs w:val="28"/>
        </w:rPr>
        <w:t>、招生计划为拟招生人数，最终计划以教育部下达的为准。</w:t>
      </w:r>
      <w:r>
        <w:rPr>
          <w:rFonts w:ascii="仿宋_GB2312" w:hAnsi="华文仿宋" w:eastAsia="仿宋_GB2312" w:cs="Arial"/>
          <w:bCs/>
          <w:sz w:val="28"/>
          <w:szCs w:val="28"/>
        </w:rPr>
        <w:t>各专业</w:t>
      </w:r>
      <w:r>
        <w:rPr>
          <w:rFonts w:hint="eastAsia" w:ascii="仿宋_GB2312" w:hAnsi="华文仿宋" w:eastAsia="仿宋_GB2312" w:cs="Arial"/>
          <w:bCs/>
          <w:sz w:val="28"/>
          <w:szCs w:val="28"/>
        </w:rPr>
        <w:t>招收的推免生</w:t>
      </w:r>
      <w:r>
        <w:rPr>
          <w:rFonts w:ascii="仿宋_GB2312" w:hAnsi="华文仿宋" w:eastAsia="仿宋_GB2312" w:cs="Arial"/>
          <w:bCs/>
          <w:sz w:val="28"/>
          <w:szCs w:val="28"/>
        </w:rPr>
        <w:t>名额不超过招生人数的50%，</w:t>
      </w:r>
      <w:r>
        <w:rPr>
          <w:rFonts w:hint="eastAsia" w:ascii="仿宋_GB2312" w:hAnsi="华文仿宋" w:eastAsia="仿宋_GB2312" w:cs="Arial"/>
          <w:bCs/>
          <w:sz w:val="28"/>
          <w:szCs w:val="28"/>
        </w:rPr>
        <w:t>拟招收推免人数以最后确认录取人数为准。</w:t>
      </w:r>
    </w:p>
    <w:p>
      <w:pPr>
        <w:widowControl/>
        <w:spacing w:line="560" w:lineRule="exact"/>
        <w:jc w:val="left"/>
        <w:rPr>
          <w:rFonts w:hint="eastAsia" w:ascii="仿宋_GB2312" w:hAnsi="华文仿宋" w:eastAsia="仿宋_GB2312" w:cs="Arial"/>
          <w:b/>
          <w:bCs w:val="0"/>
          <w:sz w:val="28"/>
          <w:szCs w:val="28"/>
        </w:rPr>
      </w:pPr>
      <w:r>
        <w:rPr>
          <w:rFonts w:hint="eastAsia" w:ascii="仿宋_GB2312" w:hAnsi="华文仿宋" w:eastAsia="仿宋_GB2312" w:cs="Arial"/>
          <w:b/>
          <w:bCs w:val="0"/>
          <w:sz w:val="28"/>
          <w:szCs w:val="28"/>
          <w:lang w:eastAsia="zh-CN"/>
        </w:rPr>
        <w:t>八</w:t>
      </w:r>
      <w:r>
        <w:rPr>
          <w:rFonts w:hint="eastAsia" w:ascii="仿宋_GB2312" w:hAnsi="华文仿宋" w:eastAsia="仿宋_GB2312" w:cs="Arial"/>
          <w:b/>
          <w:bCs w:val="0"/>
          <w:sz w:val="28"/>
          <w:szCs w:val="28"/>
        </w:rPr>
        <w:t>、特别说明</w:t>
      </w:r>
    </w:p>
    <w:p>
      <w:pPr>
        <w:widowControl/>
        <w:spacing w:line="560" w:lineRule="exact"/>
        <w:ind w:firstLine="548" w:firstLineChars="196"/>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（1）招生专业目录中“☆”为全日制专业学位，“★”为非全日制专业学位。</w:t>
      </w:r>
    </w:p>
    <w:p>
      <w:pPr>
        <w:widowControl/>
        <w:spacing w:line="560" w:lineRule="exact"/>
        <w:ind w:firstLine="548" w:firstLineChars="196"/>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（2）“☆”表示该专业只招收全日制专业学位研究生；</w:t>
      </w:r>
    </w:p>
    <w:p>
      <w:pPr>
        <w:widowControl/>
        <w:spacing w:line="560" w:lineRule="exact"/>
        <w:ind w:firstLine="1108" w:firstLineChars="396"/>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“★”表示该专业只招收非全日制专业学位研究生；</w:t>
      </w:r>
    </w:p>
    <w:p>
      <w:pPr>
        <w:widowControl/>
        <w:spacing w:line="560" w:lineRule="exact"/>
        <w:ind w:firstLine="1120" w:firstLineChars="400"/>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“☆★”表示该专业同时招收全日制和非全日制专业学位研究生。</w:t>
      </w:r>
    </w:p>
    <w:p>
      <w:pPr>
        <w:widowControl/>
        <w:spacing w:line="560" w:lineRule="exact"/>
        <w:ind w:firstLine="548" w:firstLineChars="196"/>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rPr>
        <w:t>（3）招生专业目录中“全/非全”分别代表全日制和非全日制。</w:t>
      </w:r>
    </w:p>
    <w:p>
      <w:pPr>
        <w:widowControl/>
        <w:spacing w:line="560" w:lineRule="exact"/>
        <w:jc w:val="left"/>
        <w:rPr>
          <w:rFonts w:hint="eastAsia" w:ascii="仿宋_GB2312" w:hAnsi="华文仿宋" w:eastAsia="仿宋_GB2312" w:cs="Arial"/>
          <w:bCs/>
          <w:sz w:val="28"/>
          <w:szCs w:val="28"/>
        </w:rPr>
      </w:pPr>
      <w:r>
        <w:rPr>
          <w:rFonts w:hint="eastAsia" w:ascii="仿宋_GB2312" w:hAnsi="华文仿宋" w:eastAsia="仿宋_GB2312" w:cs="Arial"/>
          <w:bCs/>
          <w:sz w:val="28"/>
          <w:szCs w:val="28"/>
          <w:lang w:eastAsia="zh-CN"/>
        </w:rPr>
        <w:t>九</w:t>
      </w:r>
      <w:r>
        <w:rPr>
          <w:rFonts w:hint="eastAsia" w:ascii="仿宋_GB2312" w:hAnsi="华文仿宋" w:eastAsia="仿宋_GB2312" w:cs="Arial"/>
          <w:bCs/>
          <w:sz w:val="28"/>
          <w:szCs w:val="28"/>
        </w:rPr>
        <w:t>、考生如需咨询，请直接来函、来电或发邮件联系。</w:t>
      </w:r>
    </w:p>
    <w:p>
      <w:pPr>
        <w:widowControl/>
        <w:spacing w:line="560" w:lineRule="exact"/>
        <w:ind w:firstLine="560" w:firstLineChars="200"/>
        <w:jc w:val="left"/>
        <w:rPr>
          <w:rFonts w:hint="eastAsia" w:eastAsia="仿宋_GB2312"/>
          <w:bCs/>
          <w:sz w:val="28"/>
          <w:szCs w:val="28"/>
        </w:rPr>
      </w:pPr>
      <w:r>
        <w:rPr>
          <w:rFonts w:hint="eastAsia" w:eastAsia="仿宋_GB2312"/>
          <w:bCs/>
          <w:sz w:val="28"/>
          <w:szCs w:val="28"/>
          <w:lang w:eastAsia="zh-CN"/>
        </w:rPr>
        <w:t>学校</w:t>
      </w:r>
      <w:r>
        <w:rPr>
          <w:rFonts w:eastAsia="仿宋_GB2312"/>
          <w:bCs/>
          <w:sz w:val="28"/>
          <w:szCs w:val="28"/>
        </w:rPr>
        <w:t>研招办电话：0391-3987234</w:t>
      </w:r>
    </w:p>
    <w:p>
      <w:pPr>
        <w:widowControl/>
        <w:spacing w:line="560" w:lineRule="exact"/>
        <w:ind w:firstLine="560" w:firstLineChars="200"/>
        <w:jc w:val="left"/>
        <w:rPr>
          <w:rFonts w:eastAsia="仿宋_GB2312"/>
          <w:bCs/>
          <w:sz w:val="28"/>
          <w:szCs w:val="28"/>
        </w:rPr>
      </w:pPr>
      <w:r>
        <w:rPr>
          <w:rFonts w:hint="eastAsia" w:ascii="仿宋_GB2312" w:hAnsi="华文仿宋" w:eastAsia="仿宋_GB2312" w:cs="Arial"/>
          <w:bCs/>
          <w:sz w:val="28"/>
          <w:szCs w:val="28"/>
          <w:lang w:eastAsia="zh-CN"/>
        </w:rPr>
        <w:t>学校</w:t>
      </w:r>
      <w:r>
        <w:rPr>
          <w:rFonts w:hint="eastAsia" w:ascii="仿宋_GB2312" w:hAnsi="华文仿宋" w:eastAsia="仿宋_GB2312" w:cs="Arial"/>
          <w:bCs/>
          <w:sz w:val="28"/>
          <w:szCs w:val="28"/>
        </w:rPr>
        <w:t>研招办邮箱</w:t>
      </w:r>
      <w:r>
        <w:rPr>
          <w:rFonts w:eastAsia="仿宋_GB2312"/>
          <w:bCs/>
          <w:sz w:val="28"/>
          <w:szCs w:val="28"/>
        </w:rPr>
        <w:t>：</w:t>
      </w:r>
      <w:r>
        <w:rPr>
          <w:rFonts w:eastAsia="仿宋_GB2312"/>
          <w:bCs/>
          <w:sz w:val="28"/>
          <w:szCs w:val="28"/>
        </w:rPr>
        <w:fldChar w:fldCharType="begin"/>
      </w:r>
      <w:r>
        <w:rPr>
          <w:rFonts w:eastAsia="仿宋_GB2312"/>
          <w:bCs/>
          <w:sz w:val="28"/>
          <w:szCs w:val="28"/>
        </w:rPr>
        <w:instrText xml:space="preserve"> HYPERLINK "mailto:yanzhaoban219@hpu.edu.cn" </w:instrText>
      </w:r>
      <w:r>
        <w:rPr>
          <w:rFonts w:eastAsia="仿宋_GB2312"/>
          <w:bCs/>
          <w:sz w:val="28"/>
          <w:szCs w:val="28"/>
        </w:rPr>
        <w:fldChar w:fldCharType="separate"/>
      </w:r>
      <w:r>
        <w:rPr>
          <w:rFonts w:eastAsia="仿宋_GB2312"/>
          <w:bCs/>
          <w:sz w:val="28"/>
          <w:szCs w:val="28"/>
        </w:rPr>
        <w:t>yanzhaoban219@hpu.edu.cn</w:t>
      </w:r>
      <w:r>
        <w:rPr>
          <w:rFonts w:eastAsia="仿宋_GB2312"/>
          <w:bCs/>
          <w:sz w:val="28"/>
          <w:szCs w:val="28"/>
        </w:rPr>
        <w:fldChar w:fldCharType="end"/>
      </w:r>
    </w:p>
    <w:p>
      <w:pPr>
        <w:widowControl/>
        <w:spacing w:line="560" w:lineRule="exact"/>
        <w:ind w:firstLine="560" w:firstLineChars="200"/>
        <w:jc w:val="left"/>
        <w:rPr>
          <w:rFonts w:hint="eastAsia" w:eastAsia="仿宋_GB2312"/>
          <w:bCs/>
          <w:sz w:val="28"/>
          <w:szCs w:val="28"/>
          <w:lang w:val="en-US" w:eastAsia="zh-CN"/>
        </w:rPr>
      </w:pPr>
      <w:r>
        <w:rPr>
          <w:rFonts w:hint="eastAsia" w:eastAsia="仿宋_GB2312"/>
          <w:bCs/>
          <w:sz w:val="28"/>
          <w:szCs w:val="28"/>
          <w:lang w:eastAsia="zh-CN"/>
        </w:rPr>
        <w:t>应急管理学院研究生办公室：</w:t>
      </w:r>
      <w:r>
        <w:rPr>
          <w:rFonts w:hint="eastAsia" w:eastAsia="仿宋_GB2312"/>
          <w:bCs/>
          <w:sz w:val="28"/>
          <w:szCs w:val="28"/>
          <w:lang w:val="en-US" w:eastAsia="zh-CN"/>
        </w:rPr>
        <w:t>0391-3986569</w:t>
      </w:r>
    </w:p>
    <w:p>
      <w:pPr>
        <w:widowControl/>
        <w:spacing w:line="560" w:lineRule="exact"/>
        <w:ind w:firstLine="560" w:firstLineChars="200"/>
        <w:jc w:val="left"/>
        <w:rPr>
          <w:rFonts w:hint="eastAsia" w:eastAsia="仿宋_GB2312"/>
          <w:bCs/>
          <w:sz w:val="28"/>
          <w:szCs w:val="28"/>
          <w:lang w:val="en-US" w:eastAsia="zh-CN"/>
        </w:rPr>
      </w:pPr>
      <w:r>
        <w:rPr>
          <w:rFonts w:hint="eastAsia" w:eastAsia="仿宋_GB2312"/>
          <w:bCs/>
          <w:sz w:val="28"/>
          <w:szCs w:val="28"/>
          <w:lang w:eastAsia="zh-CN"/>
        </w:rPr>
        <w:t>应急管理学院研究生办公室邮箱：</w:t>
      </w:r>
      <w:r>
        <w:rPr>
          <w:rFonts w:hint="eastAsia" w:eastAsia="仿宋_GB2312"/>
          <w:bCs/>
          <w:sz w:val="28"/>
          <w:szCs w:val="28"/>
          <w:lang w:val="en-US" w:eastAsia="zh-CN"/>
        </w:rPr>
        <w:fldChar w:fldCharType="begin"/>
      </w:r>
      <w:r>
        <w:rPr>
          <w:rFonts w:hint="eastAsia" w:eastAsia="仿宋_GB2312"/>
          <w:bCs/>
          <w:sz w:val="28"/>
          <w:szCs w:val="28"/>
          <w:lang w:val="en-US" w:eastAsia="zh-CN"/>
        </w:rPr>
        <w:instrText xml:space="preserve"> HYPERLINK "mailto:zxb@hpu.edu.cn" </w:instrText>
      </w:r>
      <w:r>
        <w:rPr>
          <w:rFonts w:hint="eastAsia" w:eastAsia="仿宋_GB2312"/>
          <w:bCs/>
          <w:sz w:val="28"/>
          <w:szCs w:val="28"/>
          <w:lang w:val="en-US" w:eastAsia="zh-CN"/>
        </w:rPr>
        <w:fldChar w:fldCharType="separate"/>
      </w:r>
      <w:r>
        <w:rPr>
          <w:rStyle w:val="5"/>
          <w:rFonts w:hint="eastAsia" w:eastAsia="仿宋_GB2312"/>
          <w:bCs/>
          <w:sz w:val="28"/>
          <w:szCs w:val="28"/>
          <w:lang w:val="en-US" w:eastAsia="zh-CN"/>
        </w:rPr>
        <w:t>zxb@hpu.edu.cn</w:t>
      </w:r>
      <w:r>
        <w:rPr>
          <w:rFonts w:hint="eastAsia" w:eastAsia="仿宋_GB2312"/>
          <w:bCs/>
          <w:sz w:val="28"/>
          <w:szCs w:val="28"/>
          <w:lang w:val="en-US" w:eastAsia="zh-CN"/>
        </w:rPr>
        <w:fldChar w:fldCharType="end"/>
      </w:r>
    </w:p>
    <w:p>
      <w:pPr>
        <w:widowControl/>
        <w:spacing w:line="560" w:lineRule="exact"/>
        <w:ind w:firstLine="560" w:firstLineChars="200"/>
        <w:jc w:val="left"/>
        <w:rPr>
          <w:rFonts w:hint="eastAsia" w:eastAsia="仿宋_GB2312"/>
          <w:bCs/>
          <w:sz w:val="28"/>
          <w:szCs w:val="28"/>
          <w:lang w:val="en-US" w:eastAsia="zh-CN"/>
        </w:rPr>
      </w:pPr>
    </w:p>
    <w:tbl>
      <w:tblPr>
        <w:tblStyle w:val="6"/>
        <w:tblpPr w:leftFromText="180" w:rightFromText="180" w:vertAnchor="text" w:horzAnchor="page" w:tblpX="1686" w:tblpY="1537"/>
        <w:tblOverlap w:val="never"/>
        <w:tblW w:w="11450" w:type="dxa"/>
        <w:tblCellSpacing w:w="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840"/>
        <w:gridCol w:w="842"/>
        <w:gridCol w:w="2206"/>
        <w:gridCol w:w="74"/>
        <w:gridCol w:w="2626"/>
        <w:gridCol w:w="2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0" w:type="dxa"/>
        </w:trPr>
        <w:tc>
          <w:tcPr>
            <w:tcW w:w="2840" w:type="dxa"/>
            <w:tcBorders>
              <w:bottom w:val="outset" w:color="auto" w:sz="6" w:space="0"/>
              <w:right w:val="outset" w:color="auto" w:sz="6" w:space="0"/>
            </w:tcBorders>
            <w:vAlign w:val="center"/>
          </w:tcPr>
          <w:p>
            <w:pPr>
              <w:widowControl/>
              <w:jc w:val="center"/>
              <w:rPr>
                <w:rFonts w:hint="eastAsia" w:ascii="宋体" w:hAnsi="宋体" w:cs="宋体"/>
                <w:b/>
                <w:color w:val="000000"/>
                <w:kern w:val="0"/>
                <w:sz w:val="28"/>
                <w:szCs w:val="28"/>
              </w:rPr>
            </w:pPr>
            <w:r>
              <w:rPr>
                <w:rFonts w:ascii="宋体" w:hAnsi="宋体" w:cs="宋体"/>
                <w:b/>
                <w:bCs/>
                <w:color w:val="000000"/>
                <w:kern w:val="0"/>
                <w:sz w:val="20"/>
                <w:szCs w:val="28"/>
              </w:rPr>
              <w:t>学科专业代码、名称</w:t>
            </w:r>
            <w:r>
              <w:rPr>
                <w:rFonts w:hint="eastAsia" w:ascii="宋体" w:hAnsi="宋体" w:cs="宋体"/>
                <w:b/>
                <w:bCs/>
                <w:color w:val="000000"/>
                <w:kern w:val="0"/>
                <w:sz w:val="20"/>
                <w:szCs w:val="28"/>
              </w:rPr>
              <w:t>及</w:t>
            </w:r>
            <w:r>
              <w:rPr>
                <w:rFonts w:ascii="宋体" w:hAnsi="宋体" w:cs="宋体"/>
                <w:b/>
                <w:bCs/>
                <w:color w:val="000000"/>
                <w:kern w:val="0"/>
                <w:sz w:val="20"/>
                <w:szCs w:val="28"/>
              </w:rPr>
              <w:t>研究方向</w:t>
            </w:r>
          </w:p>
        </w:tc>
        <w:tc>
          <w:tcPr>
            <w:tcW w:w="842" w:type="dxa"/>
            <w:tcBorders>
              <w:left w:val="outset" w:color="auto" w:sz="6" w:space="0"/>
              <w:bottom w:val="outset" w:color="auto" w:sz="6" w:space="0"/>
              <w:right w:val="outset" w:color="auto" w:sz="6" w:space="0"/>
            </w:tcBorders>
            <w:vAlign w:val="center"/>
          </w:tcPr>
          <w:p>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招生人数</w:t>
            </w:r>
          </w:p>
          <w:p>
            <w:pPr>
              <w:widowControl/>
              <w:jc w:val="center"/>
              <w:rPr>
                <w:rFonts w:hint="eastAsia" w:ascii="宋体" w:hAnsi="宋体" w:cs="宋体"/>
                <w:b/>
                <w:color w:val="000000"/>
                <w:kern w:val="0"/>
                <w:sz w:val="20"/>
                <w:szCs w:val="20"/>
              </w:rPr>
            </w:pPr>
            <w:r>
              <w:rPr>
                <w:rFonts w:hint="eastAsia" w:ascii="宋体" w:hAnsi="宋体" w:cs="宋体"/>
                <w:b/>
                <w:bCs/>
                <w:color w:val="000000"/>
                <w:kern w:val="0"/>
                <w:sz w:val="20"/>
                <w:szCs w:val="20"/>
              </w:rPr>
              <w:t>全/非全</w:t>
            </w:r>
          </w:p>
        </w:tc>
        <w:tc>
          <w:tcPr>
            <w:tcW w:w="2280" w:type="dxa"/>
            <w:gridSpan w:val="2"/>
            <w:tcBorders>
              <w:left w:val="outset" w:color="auto" w:sz="6" w:space="0"/>
              <w:bottom w:val="outset" w:color="auto" w:sz="6" w:space="0"/>
              <w:right w:val="single" w:color="auto" w:sz="4" w:space="0"/>
            </w:tcBorders>
            <w:vAlign w:val="center"/>
          </w:tcPr>
          <w:p>
            <w:pPr>
              <w:widowControl/>
              <w:ind w:firstLine="803" w:firstLineChars="400"/>
              <w:jc w:val="both"/>
              <w:rPr>
                <w:rFonts w:hint="eastAsia" w:ascii="宋体" w:hAnsi="宋体" w:cs="宋体"/>
                <w:b/>
                <w:color w:val="000000"/>
                <w:kern w:val="0"/>
                <w:sz w:val="28"/>
                <w:szCs w:val="28"/>
              </w:rPr>
            </w:pPr>
            <w:r>
              <w:rPr>
                <w:rFonts w:ascii="宋体" w:hAnsi="宋体" w:cs="宋体"/>
                <w:b/>
                <w:bCs/>
                <w:color w:val="000000"/>
                <w:kern w:val="0"/>
                <w:sz w:val="20"/>
                <w:szCs w:val="20"/>
              </w:rPr>
              <w:t>考试科目</w:t>
            </w:r>
          </w:p>
        </w:tc>
        <w:tc>
          <w:tcPr>
            <w:tcW w:w="2626" w:type="dxa"/>
            <w:tcBorders>
              <w:left w:val="single" w:color="auto" w:sz="4" w:space="0"/>
              <w:bottom w:val="outset" w:color="auto" w:sz="6" w:space="0"/>
              <w:right w:val="outset" w:color="808080" w:sz="6" w:space="0"/>
            </w:tcBorders>
            <w:vAlign w:val="center"/>
          </w:tcPr>
          <w:p>
            <w:pPr>
              <w:widowControl/>
              <w:jc w:val="both"/>
              <w:rPr>
                <w:rFonts w:hint="eastAsia" w:ascii="宋体" w:hAnsi="宋体" w:cs="宋体" w:eastAsiaTheme="minorEastAsia"/>
                <w:b/>
                <w:bCs/>
                <w:color w:val="000000"/>
                <w:kern w:val="0"/>
                <w:sz w:val="20"/>
                <w:szCs w:val="20"/>
                <w:lang w:val="en-US" w:eastAsia="zh-CN"/>
              </w:rPr>
            </w:pPr>
            <w:r>
              <w:rPr>
                <w:rFonts w:hint="eastAsia" w:ascii="宋体" w:hAnsi="宋体" w:cs="宋体"/>
                <w:b/>
                <w:bCs/>
                <w:color w:val="000000"/>
                <w:kern w:val="0"/>
                <w:sz w:val="20"/>
                <w:szCs w:val="20"/>
                <w:lang w:val="en-US" w:eastAsia="zh-CN"/>
              </w:rPr>
              <w:t xml:space="preserve">         备注</w:t>
            </w:r>
          </w:p>
        </w:tc>
        <w:tc>
          <w:tcPr>
            <w:tcW w:w="2862" w:type="dxa"/>
            <w:vAlign w:val="center"/>
          </w:tcPr>
          <w:p>
            <w:pPr>
              <w:widowControl/>
              <w:jc w:val="both"/>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gridAfter w:val="1"/>
          <w:wAfter w:w="2862" w:type="dxa"/>
          <w:trHeight w:val="195" w:hRule="atLeast"/>
          <w:tblCellSpacing w:w="0" w:type="dxa"/>
        </w:trPr>
        <w:tc>
          <w:tcPr>
            <w:tcW w:w="2840" w:type="dxa"/>
            <w:tcBorders>
              <w:top w:val="single" w:color="FF0000" w:sz="12" w:space="0"/>
              <w:bottom w:val="outset" w:color="auto" w:sz="6" w:space="0"/>
              <w:right w:val="outset" w:color="auto" w:sz="6" w:space="0"/>
            </w:tcBorders>
            <w:vAlign w:val="center"/>
          </w:tcPr>
          <w:p>
            <w:pPr>
              <w:rPr>
                <w:rFonts w:hint="eastAsia" w:ascii="宋体" w:hAnsi="宋体" w:cs="宋体"/>
                <w:b/>
                <w:color w:val="000000"/>
                <w:kern w:val="0"/>
                <w:sz w:val="24"/>
              </w:rPr>
            </w:pPr>
            <w:r>
              <w:rPr>
                <w:rFonts w:hint="eastAsia" w:ascii="宋体" w:hAnsi="宋体" w:cs="宋体"/>
                <w:b/>
                <w:color w:val="000000"/>
                <w:kern w:val="0"/>
                <w:sz w:val="24"/>
              </w:rPr>
              <w:t>016 应急管理学院</w:t>
            </w:r>
          </w:p>
          <w:p>
            <w:pPr>
              <w:rPr>
                <w:rFonts w:hint="eastAsia" w:ascii="宋体" w:hAnsi="宋体" w:cs="宋体"/>
                <w:b/>
                <w:color w:val="000000"/>
                <w:kern w:val="0"/>
                <w:sz w:val="24"/>
              </w:rPr>
            </w:pPr>
            <w:r>
              <w:rPr>
                <w:rFonts w:hint="eastAsia" w:ascii="宋体" w:hAnsi="宋体" w:cs="宋体"/>
                <w:b/>
                <w:color w:val="000000"/>
                <w:kern w:val="0"/>
                <w:sz w:val="24"/>
              </w:rPr>
              <w:t xml:space="preserve">  （社会管理学院）</w:t>
            </w:r>
          </w:p>
        </w:tc>
        <w:tc>
          <w:tcPr>
            <w:tcW w:w="842" w:type="dxa"/>
            <w:tcBorders>
              <w:top w:val="single" w:color="FF0000" w:sz="12" w:space="0"/>
              <w:left w:val="outset" w:color="auto" w:sz="6" w:space="0"/>
              <w:bottom w:val="outset" w:color="auto" w:sz="6" w:space="0"/>
              <w:right w:val="outset" w:color="auto" w:sz="6" w:space="0"/>
            </w:tcBorders>
            <w:vAlign w:val="center"/>
          </w:tcPr>
          <w:p>
            <w:pPr>
              <w:jc w:val="center"/>
              <w:rPr>
                <w:rFonts w:hint="eastAsia" w:ascii="宋体" w:hAnsi="宋体" w:cs="宋体"/>
                <w:b/>
                <w:color w:val="000000"/>
                <w:kern w:val="0"/>
                <w:sz w:val="18"/>
                <w:szCs w:val="18"/>
              </w:rPr>
            </w:pPr>
            <w:r>
              <w:rPr>
                <w:rFonts w:hint="eastAsia" w:ascii="宋体" w:hAnsi="宋体" w:cs="宋体"/>
                <w:b/>
                <w:color w:val="000000"/>
                <w:kern w:val="0"/>
                <w:sz w:val="18"/>
                <w:szCs w:val="18"/>
              </w:rPr>
              <w:t>15/35</w:t>
            </w:r>
          </w:p>
        </w:tc>
        <w:tc>
          <w:tcPr>
            <w:tcW w:w="4906" w:type="dxa"/>
            <w:gridSpan w:val="3"/>
            <w:tcBorders>
              <w:top w:val="single" w:color="FF0000" w:sz="12" w:space="0"/>
              <w:left w:val="outset" w:color="auto" w:sz="6" w:space="0"/>
              <w:bottom w:val="outset" w:color="auto" w:sz="6" w:space="0"/>
            </w:tcBorders>
            <w:vAlign w:val="center"/>
          </w:tcPr>
          <w:p>
            <w:pPr>
              <w:rPr>
                <w:rFonts w:ascii="宋体" w:hAnsi="宋体" w:cs="宋体"/>
                <w:b/>
                <w:color w:val="000000"/>
                <w:kern w:val="0"/>
                <w:sz w:val="24"/>
              </w:rPr>
            </w:pPr>
            <w:r>
              <w:rPr>
                <w:rFonts w:hint="eastAsia" w:ascii="宋体" w:hAnsi="宋体" w:cs="宋体"/>
                <w:b/>
                <w:color w:val="000000"/>
                <w:kern w:val="0"/>
                <w:sz w:val="24"/>
              </w:rPr>
              <w:t xml:space="preserve">联系电话：3986555  </w:t>
            </w:r>
            <w:bookmarkStart w:id="0" w:name="_GoBack"/>
            <w:bookmarkEnd w:id="0"/>
            <w:r>
              <w:rPr>
                <w:rFonts w:hint="eastAsia" w:ascii="宋体" w:hAnsi="宋体" w:cs="宋体"/>
                <w:b/>
                <w:color w:val="000000"/>
                <w:kern w:val="0"/>
                <w:sz w:val="24"/>
              </w:rPr>
              <w:t>联系人：吴晓涛（副院长）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gridAfter w:val="1"/>
          <w:wAfter w:w="2862" w:type="dxa"/>
          <w:trHeight w:val="540" w:hRule="atLeast"/>
          <w:tblCellSpacing w:w="0" w:type="dxa"/>
        </w:trPr>
        <w:tc>
          <w:tcPr>
            <w:tcW w:w="2840" w:type="dxa"/>
            <w:tcBorders>
              <w:top w:val="outset" w:color="auto" w:sz="6" w:space="0"/>
              <w:right w:val="outset" w:color="auto" w:sz="6" w:space="0"/>
            </w:tcBorders>
            <w:vAlign w:val="top"/>
          </w:tcPr>
          <w:p>
            <w:pPr>
              <w:rPr>
                <w:rFonts w:hint="eastAsia" w:ascii="宋体" w:hAnsi="宋体" w:cs="宋体"/>
                <w:b/>
                <w:color w:val="000000"/>
                <w:kern w:val="0"/>
                <w:sz w:val="18"/>
                <w:szCs w:val="18"/>
              </w:rPr>
            </w:pPr>
            <w:r>
              <w:rPr>
                <w:rFonts w:hint="eastAsia" w:ascii="宋体" w:hAnsi="宋体" w:cs="宋体"/>
                <w:b/>
                <w:color w:val="000000"/>
                <w:kern w:val="0"/>
                <w:sz w:val="18"/>
                <w:szCs w:val="18"/>
              </w:rPr>
              <w:t>125200公共管理（MPA）</w:t>
            </w:r>
            <w:r>
              <w:rPr>
                <w:rFonts w:hint="eastAsia" w:ascii="宋体" w:hAnsi="宋体" w:cs="宋体"/>
                <w:b/>
                <w:bCs/>
                <w:color w:val="000000"/>
                <w:kern w:val="0"/>
                <w:sz w:val="18"/>
                <w:szCs w:val="18"/>
              </w:rPr>
              <w:t>★</w:t>
            </w:r>
          </w:p>
          <w:p>
            <w:pPr>
              <w:rPr>
                <w:rFonts w:hint="eastAsia" w:ascii="宋体" w:hAnsi="宋体" w:cs="宋体"/>
                <w:color w:val="000000"/>
                <w:kern w:val="0"/>
                <w:sz w:val="18"/>
                <w:szCs w:val="18"/>
              </w:rPr>
            </w:pPr>
            <w:r>
              <w:rPr>
                <w:rFonts w:hint="eastAsia" w:ascii="宋体" w:hAnsi="宋体" w:cs="宋体"/>
                <w:color w:val="000000"/>
                <w:kern w:val="0"/>
                <w:sz w:val="18"/>
                <w:szCs w:val="18"/>
              </w:rPr>
              <w:t>01公共安全与危机管理</w:t>
            </w:r>
          </w:p>
          <w:p>
            <w:pPr>
              <w:rPr>
                <w:rFonts w:hint="eastAsia" w:ascii="宋体" w:hAnsi="宋体" w:cs="宋体"/>
                <w:color w:val="000000"/>
                <w:kern w:val="0"/>
                <w:sz w:val="18"/>
                <w:szCs w:val="18"/>
              </w:rPr>
            </w:pPr>
            <w:r>
              <w:rPr>
                <w:rFonts w:hint="eastAsia" w:ascii="宋体" w:hAnsi="宋体" w:cs="宋体"/>
                <w:color w:val="000000"/>
                <w:kern w:val="0"/>
                <w:sz w:val="18"/>
                <w:szCs w:val="18"/>
              </w:rPr>
              <w:t>02政府应急管理</w:t>
            </w:r>
          </w:p>
          <w:p>
            <w:pPr>
              <w:rPr>
                <w:rFonts w:hint="eastAsia" w:ascii="宋体" w:hAnsi="宋体" w:cs="宋体"/>
                <w:color w:val="000000"/>
                <w:kern w:val="0"/>
                <w:sz w:val="18"/>
                <w:szCs w:val="18"/>
              </w:rPr>
            </w:pPr>
          </w:p>
          <w:p>
            <w:pPr>
              <w:rPr>
                <w:rFonts w:hint="eastAsia" w:ascii="宋体" w:hAnsi="宋体" w:cs="宋体"/>
                <w:b/>
                <w:color w:val="000000"/>
                <w:kern w:val="0"/>
                <w:sz w:val="18"/>
                <w:szCs w:val="18"/>
              </w:rPr>
            </w:pPr>
            <w:r>
              <w:rPr>
                <w:rFonts w:hint="eastAsia" w:ascii="宋体" w:hAnsi="宋体" w:cs="宋体"/>
                <w:b/>
                <w:color w:val="000000"/>
                <w:kern w:val="0"/>
                <w:sz w:val="18"/>
                <w:szCs w:val="18"/>
              </w:rPr>
              <w:t>120100 管理科学与工程</w:t>
            </w:r>
          </w:p>
          <w:p>
            <w:pPr>
              <w:rPr>
                <w:rFonts w:hint="eastAsia" w:ascii="宋体" w:hAnsi="宋体" w:cs="宋体"/>
                <w:color w:val="000000"/>
                <w:kern w:val="0"/>
                <w:sz w:val="18"/>
                <w:szCs w:val="18"/>
              </w:rPr>
            </w:pPr>
            <w:r>
              <w:rPr>
                <w:rFonts w:hint="eastAsia" w:ascii="宋体" w:hAnsi="宋体" w:cs="宋体"/>
                <w:color w:val="000000"/>
                <w:kern w:val="0"/>
                <w:sz w:val="18"/>
                <w:szCs w:val="18"/>
              </w:rPr>
              <w:t>01应急管理工程</w:t>
            </w:r>
          </w:p>
          <w:p>
            <w:pPr>
              <w:rPr>
                <w:rFonts w:hint="eastAsia" w:ascii="宋体" w:hAnsi="宋体" w:cs="宋体"/>
                <w:color w:val="000000"/>
                <w:kern w:val="0"/>
                <w:sz w:val="18"/>
                <w:szCs w:val="18"/>
              </w:rPr>
            </w:pPr>
            <w:r>
              <w:rPr>
                <w:rFonts w:hint="eastAsia" w:ascii="宋体" w:hAnsi="宋体" w:cs="宋体"/>
                <w:color w:val="000000"/>
                <w:kern w:val="0"/>
                <w:sz w:val="18"/>
                <w:szCs w:val="18"/>
              </w:rPr>
              <w:t>02灾害风险管理</w:t>
            </w:r>
          </w:p>
          <w:p>
            <w:pPr>
              <w:rPr>
                <w:rFonts w:hint="eastAsia" w:ascii="宋体" w:hAnsi="宋体" w:cs="宋体"/>
                <w:b/>
                <w:color w:val="000000"/>
                <w:kern w:val="0"/>
                <w:sz w:val="18"/>
                <w:szCs w:val="18"/>
              </w:rPr>
            </w:pPr>
          </w:p>
          <w:p>
            <w:pPr>
              <w:rPr>
                <w:rFonts w:hint="eastAsia" w:ascii="宋体" w:hAnsi="宋体" w:cs="宋体"/>
                <w:b/>
                <w:color w:val="000000"/>
                <w:kern w:val="0"/>
                <w:sz w:val="18"/>
                <w:szCs w:val="18"/>
              </w:rPr>
            </w:pPr>
          </w:p>
          <w:p>
            <w:pPr>
              <w:rPr>
                <w:rFonts w:hint="eastAsia" w:ascii="宋体" w:hAnsi="宋体" w:cs="宋体"/>
                <w:b/>
                <w:bCs/>
                <w:color w:val="000000"/>
                <w:kern w:val="0"/>
                <w:sz w:val="18"/>
                <w:szCs w:val="18"/>
              </w:rPr>
            </w:pPr>
            <w:r>
              <w:rPr>
                <w:rFonts w:hint="eastAsia" w:ascii="宋体" w:hAnsi="宋体" w:cs="宋体"/>
                <w:b/>
                <w:bCs/>
                <w:color w:val="000000"/>
                <w:kern w:val="0"/>
                <w:sz w:val="18"/>
                <w:szCs w:val="18"/>
              </w:rPr>
              <w:t>120400 公共管理</w:t>
            </w:r>
          </w:p>
          <w:p>
            <w:pPr>
              <w:rPr>
                <w:rFonts w:hint="eastAsia" w:ascii="宋体" w:hAnsi="宋体" w:cs="宋体"/>
                <w:color w:val="000000"/>
                <w:kern w:val="0"/>
                <w:sz w:val="18"/>
                <w:szCs w:val="18"/>
              </w:rPr>
            </w:pPr>
            <w:r>
              <w:rPr>
                <w:rFonts w:hint="eastAsia" w:ascii="宋体" w:hAnsi="宋体" w:cs="宋体"/>
                <w:color w:val="000000"/>
                <w:kern w:val="0"/>
                <w:sz w:val="18"/>
                <w:szCs w:val="18"/>
              </w:rPr>
              <w:t>01行政管理</w:t>
            </w:r>
          </w:p>
          <w:p>
            <w:pPr>
              <w:rPr>
                <w:rFonts w:hint="eastAsia" w:ascii="宋体" w:hAnsi="宋体" w:cs="宋体"/>
                <w:color w:val="000000"/>
                <w:kern w:val="0"/>
                <w:sz w:val="18"/>
                <w:szCs w:val="18"/>
              </w:rPr>
            </w:pPr>
            <w:r>
              <w:rPr>
                <w:rFonts w:hint="eastAsia" w:ascii="宋体" w:hAnsi="宋体" w:cs="宋体"/>
                <w:color w:val="000000"/>
                <w:kern w:val="0"/>
                <w:sz w:val="18"/>
                <w:szCs w:val="18"/>
              </w:rPr>
              <w:t>02公共安全管理</w:t>
            </w:r>
          </w:p>
          <w:p>
            <w:pPr>
              <w:rPr>
                <w:rFonts w:hint="eastAsia" w:ascii="宋体" w:hAnsi="宋体" w:cs="宋体"/>
                <w:color w:val="000000"/>
                <w:kern w:val="0"/>
                <w:sz w:val="18"/>
                <w:szCs w:val="18"/>
              </w:rPr>
            </w:pPr>
            <w:r>
              <w:rPr>
                <w:rFonts w:hint="eastAsia" w:ascii="宋体" w:hAnsi="宋体" w:cs="宋体"/>
                <w:color w:val="000000"/>
                <w:kern w:val="0"/>
                <w:sz w:val="18"/>
                <w:szCs w:val="18"/>
              </w:rPr>
              <w:t>03教育经济与管理</w:t>
            </w:r>
          </w:p>
          <w:p>
            <w:pPr>
              <w:rPr>
                <w:rFonts w:hint="eastAsia" w:ascii="宋体" w:hAnsi="宋体" w:cs="宋体"/>
                <w:b/>
                <w:color w:val="000000"/>
                <w:kern w:val="0"/>
                <w:sz w:val="18"/>
                <w:szCs w:val="18"/>
              </w:rPr>
            </w:pPr>
          </w:p>
          <w:p>
            <w:pPr>
              <w:rPr>
                <w:rFonts w:hint="eastAsia" w:ascii="宋体" w:hAnsi="宋体" w:cs="宋体"/>
                <w:color w:val="000000"/>
                <w:kern w:val="0"/>
                <w:sz w:val="18"/>
                <w:szCs w:val="18"/>
              </w:rPr>
            </w:pPr>
          </w:p>
        </w:tc>
        <w:tc>
          <w:tcPr>
            <w:tcW w:w="842" w:type="dxa"/>
            <w:tcBorders>
              <w:top w:val="outset" w:color="auto" w:sz="6" w:space="0"/>
              <w:left w:val="outset" w:color="auto" w:sz="6" w:space="0"/>
              <w:right w:val="outset" w:color="auto" w:sz="6" w:space="0"/>
            </w:tcBorders>
            <w:vAlign w:val="top"/>
          </w:tcPr>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jc w:val="center"/>
              <w:rPr>
                <w:rFonts w:hint="eastAsia" w:ascii="宋体" w:hAnsi="宋体" w:cs="宋体"/>
                <w:color w:val="000000"/>
                <w:kern w:val="0"/>
                <w:sz w:val="18"/>
                <w:szCs w:val="18"/>
              </w:rPr>
            </w:pPr>
          </w:p>
          <w:p>
            <w:pPr>
              <w:ind w:firstLine="90" w:firstLineChars="50"/>
              <w:jc w:val="center"/>
              <w:rPr>
                <w:rFonts w:hint="eastAsia" w:ascii="宋体" w:hAnsi="宋体" w:cs="宋体"/>
                <w:color w:val="000000"/>
                <w:kern w:val="0"/>
                <w:sz w:val="18"/>
                <w:szCs w:val="18"/>
              </w:rPr>
            </w:pPr>
          </w:p>
        </w:tc>
        <w:tc>
          <w:tcPr>
            <w:tcW w:w="2206" w:type="dxa"/>
            <w:tcBorders>
              <w:top w:val="outset" w:color="auto" w:sz="6" w:space="0"/>
              <w:left w:val="outset" w:color="auto" w:sz="6" w:space="0"/>
              <w:right w:val="outset" w:color="auto" w:sz="6" w:space="0"/>
            </w:tcBorders>
            <w:vAlign w:val="top"/>
          </w:tcPr>
          <w:p>
            <w:pPr>
              <w:widowControl/>
              <w:rPr>
                <w:rFonts w:hint="eastAsia" w:ascii="宋体" w:hAnsi="宋体" w:cs="宋体"/>
                <w:color w:val="000000"/>
                <w:kern w:val="0"/>
                <w:sz w:val="18"/>
                <w:szCs w:val="18"/>
              </w:rPr>
            </w:pPr>
            <w:r>
              <w:rPr>
                <w:rFonts w:ascii="宋体" w:hAnsi="宋体" w:cs="宋体"/>
                <w:color w:val="000000"/>
                <w:kern w:val="0"/>
                <w:sz w:val="18"/>
                <w:szCs w:val="18"/>
              </w:rPr>
              <w:t>①</w:t>
            </w:r>
            <w:r>
              <w:rPr>
                <w:rFonts w:hint="eastAsia" w:ascii="宋体" w:hAnsi="宋体" w:cs="宋体"/>
                <w:color w:val="000000"/>
                <w:kern w:val="0"/>
                <w:sz w:val="18"/>
                <w:szCs w:val="18"/>
              </w:rPr>
              <w:t xml:space="preserve"> 199管理类联考综合能力</w:t>
            </w:r>
          </w:p>
          <w:p>
            <w:pPr>
              <w:widowControl/>
              <w:rPr>
                <w:rFonts w:hint="eastAsia" w:ascii="宋体" w:hAnsi="宋体" w:cs="宋体"/>
                <w:color w:val="000000"/>
                <w:kern w:val="0"/>
                <w:sz w:val="18"/>
                <w:szCs w:val="18"/>
              </w:rPr>
            </w:pPr>
            <w:r>
              <w:rPr>
                <w:rFonts w:ascii="宋体" w:hAnsi="宋体" w:cs="宋体"/>
                <w:color w:val="000000"/>
                <w:kern w:val="0"/>
                <w:sz w:val="18"/>
                <w:szCs w:val="18"/>
              </w:rPr>
              <w:t>②</w:t>
            </w:r>
            <w:r>
              <w:rPr>
                <w:rFonts w:hint="eastAsia" w:ascii="宋体" w:hAnsi="宋体" w:cs="宋体"/>
                <w:color w:val="000000"/>
                <w:kern w:val="0"/>
                <w:sz w:val="18"/>
                <w:szCs w:val="18"/>
              </w:rPr>
              <w:t xml:space="preserve"> 204</w:t>
            </w:r>
            <w:r>
              <w:rPr>
                <w:rFonts w:ascii="宋体" w:hAnsi="宋体" w:cs="宋体"/>
                <w:color w:val="000000"/>
                <w:kern w:val="0"/>
                <w:sz w:val="18"/>
                <w:szCs w:val="18"/>
              </w:rPr>
              <w:t>英语</w:t>
            </w:r>
            <w:r>
              <w:rPr>
                <w:rFonts w:hint="eastAsia" w:ascii="宋体" w:hAnsi="宋体" w:cs="宋体"/>
                <w:color w:val="000000"/>
                <w:kern w:val="0"/>
                <w:sz w:val="18"/>
                <w:szCs w:val="18"/>
              </w:rPr>
              <w:t>二</w:t>
            </w:r>
          </w:p>
          <w:p>
            <w:pPr>
              <w:widowControl/>
              <w:rPr>
                <w:rFonts w:hint="eastAsia" w:ascii="宋体" w:hAnsi="宋体" w:cs="宋体"/>
                <w:color w:val="000000"/>
                <w:kern w:val="0"/>
                <w:sz w:val="18"/>
                <w:szCs w:val="18"/>
              </w:rPr>
            </w:pPr>
          </w:p>
          <w:p>
            <w:pPr>
              <w:widowControl/>
              <w:rPr>
                <w:rFonts w:hint="eastAsia" w:ascii="宋体" w:hAnsi="宋体" w:cs="宋体"/>
                <w:color w:val="000000"/>
                <w:kern w:val="0"/>
                <w:sz w:val="18"/>
                <w:szCs w:val="18"/>
              </w:rPr>
            </w:pPr>
          </w:p>
          <w:p>
            <w:pPr>
              <w:widowControl/>
              <w:rPr>
                <w:rFonts w:ascii="宋体" w:hAnsi="宋体" w:cs="宋体"/>
                <w:color w:val="000000"/>
                <w:kern w:val="0"/>
                <w:sz w:val="18"/>
                <w:szCs w:val="18"/>
              </w:rPr>
            </w:pPr>
            <w:r>
              <w:rPr>
                <w:rFonts w:ascii="宋体" w:hAnsi="宋体" w:cs="宋体"/>
                <w:color w:val="000000"/>
                <w:kern w:val="0"/>
                <w:sz w:val="18"/>
                <w:szCs w:val="18"/>
              </w:rPr>
              <w:t>① 101思想政治理论</w:t>
            </w:r>
          </w:p>
          <w:p>
            <w:pPr>
              <w:widowControl/>
              <w:rPr>
                <w:rFonts w:ascii="宋体" w:hAnsi="宋体" w:cs="宋体"/>
                <w:color w:val="000000"/>
                <w:kern w:val="0"/>
                <w:sz w:val="18"/>
                <w:szCs w:val="18"/>
              </w:rPr>
            </w:pPr>
            <w:r>
              <w:rPr>
                <w:rFonts w:ascii="宋体" w:hAnsi="宋体" w:cs="宋体"/>
                <w:color w:val="000000"/>
                <w:kern w:val="0"/>
                <w:sz w:val="18"/>
                <w:szCs w:val="18"/>
              </w:rPr>
              <w:t>② 201英语一</w:t>
            </w:r>
          </w:p>
          <w:p>
            <w:pPr>
              <w:widowControl/>
              <w:rPr>
                <w:rFonts w:hint="eastAsia" w:ascii="宋体" w:hAnsi="宋体" w:cs="宋体"/>
                <w:color w:val="000000"/>
                <w:kern w:val="0"/>
                <w:sz w:val="18"/>
                <w:szCs w:val="18"/>
              </w:rPr>
            </w:pPr>
            <w:r>
              <w:rPr>
                <w:rFonts w:ascii="宋体" w:hAnsi="宋体" w:cs="宋体"/>
                <w:color w:val="000000"/>
                <w:kern w:val="0"/>
                <w:sz w:val="18"/>
                <w:szCs w:val="18"/>
              </w:rPr>
              <w:t>③ 30</w:t>
            </w:r>
            <w:r>
              <w:rPr>
                <w:rFonts w:hint="eastAsia" w:ascii="宋体" w:hAnsi="宋体" w:cs="宋体"/>
                <w:color w:val="000000"/>
                <w:kern w:val="0"/>
                <w:sz w:val="18"/>
                <w:szCs w:val="18"/>
              </w:rPr>
              <w:t>3 数学三</w:t>
            </w:r>
          </w:p>
          <w:p>
            <w:pPr>
              <w:widowControl/>
              <w:rPr>
                <w:rFonts w:hint="eastAsia" w:ascii="宋体" w:hAnsi="宋体" w:cs="宋体"/>
                <w:color w:val="000000"/>
                <w:kern w:val="0"/>
                <w:sz w:val="18"/>
                <w:szCs w:val="18"/>
              </w:rPr>
            </w:pPr>
            <w:r>
              <w:rPr>
                <w:rFonts w:ascii="宋体" w:hAnsi="宋体" w:cs="宋体"/>
                <w:color w:val="000000"/>
                <w:kern w:val="0"/>
                <w:sz w:val="18"/>
                <w:szCs w:val="18"/>
              </w:rPr>
              <w:t>④</w:t>
            </w:r>
            <w:r>
              <w:rPr>
                <w:rFonts w:hint="eastAsia" w:ascii="宋体" w:hAnsi="宋体" w:cs="宋体"/>
                <w:color w:val="000000"/>
                <w:kern w:val="0"/>
                <w:sz w:val="18"/>
                <w:szCs w:val="18"/>
              </w:rPr>
              <w:t xml:space="preserve"> 968应急管理理论与方法</w:t>
            </w:r>
          </w:p>
          <w:p>
            <w:pPr>
              <w:widowControl/>
              <w:rPr>
                <w:rFonts w:ascii="宋体" w:hAnsi="宋体" w:cs="宋体"/>
                <w:color w:val="000000"/>
                <w:kern w:val="0"/>
                <w:sz w:val="18"/>
                <w:szCs w:val="18"/>
              </w:rPr>
            </w:pPr>
          </w:p>
          <w:p>
            <w:pPr>
              <w:widowControl/>
              <w:rPr>
                <w:rFonts w:ascii="宋体" w:hAnsi="宋体" w:cs="宋体"/>
                <w:color w:val="000000"/>
                <w:kern w:val="0"/>
                <w:sz w:val="18"/>
                <w:szCs w:val="18"/>
              </w:rPr>
            </w:pPr>
            <w:r>
              <w:rPr>
                <w:rFonts w:ascii="宋体" w:hAnsi="宋体" w:cs="宋体"/>
                <w:color w:val="000000"/>
                <w:kern w:val="0"/>
                <w:sz w:val="18"/>
                <w:szCs w:val="18"/>
              </w:rPr>
              <w:t>① 101思想政治理论</w:t>
            </w:r>
          </w:p>
          <w:p>
            <w:pPr>
              <w:widowControl/>
              <w:rPr>
                <w:rFonts w:ascii="宋体" w:hAnsi="宋体" w:cs="宋体"/>
                <w:color w:val="000000"/>
                <w:kern w:val="0"/>
                <w:sz w:val="18"/>
                <w:szCs w:val="18"/>
              </w:rPr>
            </w:pPr>
            <w:r>
              <w:rPr>
                <w:rFonts w:ascii="宋体" w:hAnsi="宋体" w:cs="宋体"/>
                <w:color w:val="000000"/>
                <w:kern w:val="0"/>
                <w:sz w:val="18"/>
                <w:szCs w:val="18"/>
              </w:rPr>
              <w:t>② 201英语一</w:t>
            </w:r>
          </w:p>
          <w:p>
            <w:pPr>
              <w:widowControl/>
              <w:rPr>
                <w:rFonts w:hint="eastAsia" w:ascii="宋体" w:hAnsi="宋体" w:cs="宋体"/>
                <w:color w:val="000000"/>
                <w:kern w:val="0"/>
                <w:sz w:val="18"/>
                <w:szCs w:val="18"/>
              </w:rPr>
            </w:pPr>
            <w:r>
              <w:rPr>
                <w:rFonts w:ascii="宋体" w:hAnsi="宋体" w:cs="宋体"/>
                <w:color w:val="000000"/>
                <w:kern w:val="0"/>
                <w:sz w:val="18"/>
                <w:szCs w:val="18"/>
              </w:rPr>
              <w:t>③</w:t>
            </w:r>
            <w:r>
              <w:rPr>
                <w:rFonts w:hint="eastAsia" w:ascii="宋体" w:hAnsi="宋体" w:cs="宋体"/>
                <w:color w:val="000000"/>
                <w:kern w:val="0"/>
                <w:sz w:val="18"/>
                <w:szCs w:val="18"/>
              </w:rPr>
              <w:t xml:space="preserve"> 634公共管理学</w:t>
            </w:r>
          </w:p>
          <w:p>
            <w:pPr>
              <w:widowControl/>
              <w:rPr>
                <w:rFonts w:hint="eastAsia" w:ascii="宋体" w:hAnsi="宋体" w:cs="宋体"/>
                <w:color w:val="000000"/>
                <w:kern w:val="0"/>
                <w:sz w:val="18"/>
                <w:szCs w:val="18"/>
              </w:rPr>
            </w:pPr>
            <w:r>
              <w:rPr>
                <w:rFonts w:ascii="宋体" w:hAnsi="宋体" w:cs="宋体"/>
                <w:color w:val="000000"/>
                <w:kern w:val="0"/>
                <w:sz w:val="18"/>
                <w:szCs w:val="18"/>
              </w:rPr>
              <w:t>④</w:t>
            </w:r>
            <w:r>
              <w:rPr>
                <w:rFonts w:hint="eastAsia" w:ascii="宋体" w:hAnsi="宋体" w:cs="宋体"/>
                <w:color w:val="000000"/>
                <w:kern w:val="0"/>
                <w:sz w:val="18"/>
                <w:szCs w:val="18"/>
              </w:rPr>
              <w:t xml:space="preserve"> 972公共安全管理理论与方法(报考行政管理、公共安全管理方向的考生选考)， 895高等教育管理学(报考教育经济与管理方向的考生选考)</w:t>
            </w:r>
          </w:p>
          <w:p>
            <w:pPr>
              <w:widowControl/>
              <w:rPr>
                <w:rFonts w:ascii="宋体" w:hAnsi="宋体" w:cs="宋体"/>
                <w:color w:val="000000"/>
                <w:kern w:val="0"/>
                <w:sz w:val="18"/>
                <w:szCs w:val="18"/>
              </w:rPr>
            </w:pPr>
          </w:p>
          <w:p>
            <w:pPr>
              <w:widowControl/>
              <w:rPr>
                <w:rFonts w:hint="eastAsia" w:ascii="宋体" w:hAnsi="宋体" w:cs="宋体"/>
                <w:color w:val="000000"/>
                <w:kern w:val="0"/>
                <w:sz w:val="18"/>
                <w:szCs w:val="18"/>
              </w:rPr>
            </w:pPr>
          </w:p>
          <w:p>
            <w:pPr>
              <w:widowControl/>
              <w:ind w:left="105" w:leftChars="50" w:right="105" w:rightChars="50"/>
              <w:jc w:val="left"/>
              <w:rPr>
                <w:rFonts w:hint="eastAsia" w:ascii="宋体" w:hAnsi="宋体" w:cs="宋体"/>
                <w:color w:val="000000"/>
                <w:kern w:val="0"/>
                <w:sz w:val="18"/>
                <w:szCs w:val="18"/>
              </w:rPr>
            </w:pPr>
          </w:p>
        </w:tc>
        <w:tc>
          <w:tcPr>
            <w:tcW w:w="2700" w:type="dxa"/>
            <w:gridSpan w:val="2"/>
            <w:tcBorders>
              <w:top w:val="outset" w:color="auto" w:sz="6" w:space="0"/>
              <w:left w:val="outset" w:color="auto" w:sz="6" w:space="0"/>
            </w:tcBorders>
            <w:vAlign w:val="top"/>
          </w:tcPr>
          <w:p>
            <w:pPr>
              <w:widowControl/>
              <w:rPr>
                <w:rFonts w:hint="eastAsia" w:ascii="宋体" w:hAnsi="宋体" w:cs="宋体"/>
                <w:bCs/>
                <w:color w:val="000000"/>
                <w:kern w:val="0"/>
                <w:sz w:val="18"/>
                <w:szCs w:val="18"/>
              </w:rPr>
            </w:pPr>
            <w:r>
              <w:rPr>
                <w:rFonts w:hint="eastAsia" w:ascii="宋体" w:hAnsi="宋体" w:cs="宋体"/>
                <w:bCs/>
                <w:color w:val="000000"/>
                <w:kern w:val="0"/>
                <w:sz w:val="18"/>
                <w:szCs w:val="18"/>
              </w:rPr>
              <w:t>录取类别为定向就业类。</w:t>
            </w:r>
          </w:p>
          <w:p>
            <w:pPr>
              <w:widowControl/>
              <w:rPr>
                <w:rFonts w:hint="eastAsia" w:ascii="宋体" w:hAnsi="宋体" w:cs="宋体"/>
                <w:bCs/>
                <w:color w:val="000000"/>
                <w:kern w:val="0"/>
                <w:sz w:val="18"/>
                <w:szCs w:val="18"/>
              </w:rPr>
            </w:pPr>
            <w:r>
              <w:rPr>
                <w:rFonts w:hint="eastAsia" w:ascii="宋体" w:hAnsi="宋体" w:cs="宋体"/>
                <w:bCs/>
                <w:color w:val="000000"/>
                <w:kern w:val="0"/>
                <w:sz w:val="18"/>
                <w:szCs w:val="18"/>
              </w:rPr>
              <w:t>复试内容综合面试。</w:t>
            </w:r>
          </w:p>
          <w:p>
            <w:pPr>
              <w:widowControl/>
              <w:rPr>
                <w:rFonts w:hint="eastAsia" w:ascii="宋体" w:hAnsi="宋体" w:cs="宋体"/>
                <w:b/>
                <w:bCs/>
                <w:color w:val="000000"/>
                <w:kern w:val="0"/>
                <w:sz w:val="18"/>
                <w:szCs w:val="18"/>
              </w:rPr>
            </w:pPr>
          </w:p>
          <w:p>
            <w:pPr>
              <w:widowControl/>
              <w:rPr>
                <w:rFonts w:hint="eastAsia" w:ascii="宋体" w:hAnsi="宋体" w:cs="宋体"/>
                <w:b/>
                <w:bCs/>
                <w:color w:val="000000"/>
                <w:kern w:val="0"/>
                <w:sz w:val="18"/>
                <w:szCs w:val="18"/>
              </w:rPr>
            </w:pPr>
          </w:p>
          <w:p>
            <w:pPr>
              <w:widowControl/>
              <w:rPr>
                <w:rFonts w:ascii="宋体" w:hAnsi="宋体" w:cs="宋体"/>
                <w:color w:val="000000"/>
                <w:kern w:val="0"/>
                <w:sz w:val="18"/>
                <w:szCs w:val="18"/>
              </w:rPr>
            </w:pPr>
            <w:r>
              <w:rPr>
                <w:rFonts w:ascii="宋体" w:hAnsi="宋体" w:cs="宋体"/>
                <w:b/>
                <w:bCs/>
                <w:color w:val="000000"/>
                <w:kern w:val="0"/>
                <w:sz w:val="18"/>
                <w:szCs w:val="18"/>
              </w:rPr>
              <w:t>复试科目：</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969应急管理综合</w:t>
            </w:r>
          </w:p>
          <w:p>
            <w:pPr>
              <w:widowControl/>
              <w:rPr>
                <w:rFonts w:ascii="宋体" w:hAnsi="宋体" w:cs="宋体"/>
                <w:color w:val="000000"/>
                <w:kern w:val="0"/>
                <w:sz w:val="18"/>
                <w:szCs w:val="18"/>
              </w:rPr>
            </w:pPr>
            <w:r>
              <w:rPr>
                <w:rFonts w:ascii="宋体" w:hAnsi="宋体" w:cs="宋体"/>
                <w:b/>
                <w:bCs/>
                <w:color w:val="000000"/>
                <w:kern w:val="0"/>
                <w:sz w:val="18"/>
                <w:szCs w:val="18"/>
              </w:rPr>
              <w:t>同等学力加试：</w:t>
            </w:r>
            <w:r>
              <w:rPr>
                <w:rFonts w:ascii="宋体" w:hAnsi="宋体" w:cs="宋体"/>
                <w:color w:val="000000"/>
                <w:kern w:val="0"/>
                <w:sz w:val="18"/>
                <w:szCs w:val="18"/>
              </w:rPr>
              <w:t xml:space="preserve"> </w:t>
            </w:r>
          </w:p>
          <w:p>
            <w:pPr>
              <w:rPr>
                <w:rFonts w:hint="eastAsia" w:ascii="宋体" w:hAnsi="宋体" w:cs="宋体"/>
                <w:color w:val="000000"/>
                <w:kern w:val="0"/>
                <w:sz w:val="18"/>
                <w:szCs w:val="18"/>
              </w:rPr>
            </w:pPr>
            <w:r>
              <w:rPr>
                <w:rFonts w:hint="eastAsia" w:ascii="宋体" w:hAnsi="宋体" w:cs="宋体"/>
                <w:color w:val="000000"/>
                <w:kern w:val="0"/>
                <w:sz w:val="18"/>
                <w:szCs w:val="18"/>
              </w:rPr>
              <w:t>967公共安全风险管理</w:t>
            </w:r>
          </w:p>
          <w:p>
            <w:pPr>
              <w:rPr>
                <w:rFonts w:hint="eastAsia" w:ascii="宋体" w:hAnsi="宋体" w:cs="宋体"/>
                <w:color w:val="000000"/>
                <w:kern w:val="0"/>
                <w:sz w:val="18"/>
                <w:szCs w:val="18"/>
              </w:rPr>
            </w:pPr>
            <w:r>
              <w:rPr>
                <w:rFonts w:hint="eastAsia" w:ascii="宋体" w:hAnsi="宋体" w:cs="宋体"/>
                <w:color w:val="000000"/>
                <w:kern w:val="0"/>
                <w:sz w:val="18"/>
                <w:szCs w:val="18"/>
              </w:rPr>
              <w:t>979公共安全预案编制</w:t>
            </w:r>
          </w:p>
          <w:p>
            <w:pPr>
              <w:widowControl/>
              <w:rPr>
                <w:rFonts w:ascii="宋体" w:hAnsi="宋体" w:cs="宋体"/>
                <w:color w:val="000000"/>
                <w:kern w:val="0"/>
                <w:sz w:val="18"/>
                <w:szCs w:val="18"/>
              </w:rPr>
            </w:pPr>
            <w:r>
              <w:rPr>
                <w:rFonts w:ascii="宋体" w:hAnsi="宋体" w:cs="宋体"/>
                <w:b/>
                <w:bCs/>
                <w:color w:val="000000"/>
                <w:kern w:val="0"/>
                <w:sz w:val="18"/>
                <w:szCs w:val="18"/>
              </w:rPr>
              <w:t>复试科目：</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939公共安全管理综合（报考行政管理、公共安全管理方向的考生选考）</w:t>
            </w:r>
          </w:p>
          <w:p>
            <w:pPr>
              <w:widowControl/>
              <w:rPr>
                <w:rFonts w:hint="eastAsia" w:ascii="宋体" w:hAnsi="宋体" w:cs="宋体"/>
                <w:color w:val="000000"/>
                <w:kern w:val="0"/>
                <w:sz w:val="18"/>
                <w:szCs w:val="18"/>
              </w:rPr>
            </w:pPr>
            <w:r>
              <w:rPr>
                <w:rFonts w:hint="eastAsia" w:ascii="宋体" w:hAnsi="宋体" w:cs="宋体"/>
                <w:color w:val="000000"/>
                <w:kern w:val="0"/>
                <w:sz w:val="18"/>
                <w:szCs w:val="18"/>
              </w:rPr>
              <w:t>896教育学综合（以教育学和高等教育管理学为主）（报考教育经济与管理的考生选考）</w:t>
            </w:r>
          </w:p>
          <w:p>
            <w:pPr>
              <w:widowControl/>
              <w:rPr>
                <w:rFonts w:hint="eastAsia" w:ascii="宋体" w:hAnsi="宋体" w:cs="宋体"/>
                <w:b/>
                <w:bCs/>
                <w:color w:val="000000"/>
                <w:kern w:val="0"/>
                <w:sz w:val="18"/>
                <w:szCs w:val="18"/>
              </w:rPr>
            </w:pPr>
            <w:r>
              <w:rPr>
                <w:rFonts w:ascii="宋体" w:hAnsi="宋体" w:cs="宋体"/>
                <w:b/>
                <w:bCs/>
                <w:color w:val="000000"/>
                <w:kern w:val="0"/>
                <w:sz w:val="18"/>
                <w:szCs w:val="18"/>
              </w:rPr>
              <w:t>同等学力加试：</w:t>
            </w:r>
          </w:p>
          <w:p>
            <w:pPr>
              <w:jc w:val="left"/>
              <w:rPr>
                <w:rFonts w:hint="eastAsia" w:ascii="宋体" w:hAnsi="宋体" w:cs="宋体"/>
                <w:b/>
                <w:bCs/>
                <w:color w:val="000000"/>
                <w:kern w:val="0"/>
                <w:sz w:val="18"/>
                <w:szCs w:val="18"/>
              </w:rPr>
            </w:pPr>
            <w:r>
              <w:rPr>
                <w:rFonts w:hint="eastAsia" w:ascii="宋体" w:hAnsi="宋体" w:cs="宋体"/>
                <w:color w:val="000000"/>
                <w:kern w:val="0"/>
                <w:sz w:val="18"/>
                <w:szCs w:val="18"/>
              </w:rPr>
              <w:t>报考行政管理、公共安全管理方向的同等学力考生加试967公共安全风险管理和979公共安全预案编制，报考教育经济与管理的同等学力考生加试897中国教育史和898外国教育史</w:t>
            </w:r>
          </w:p>
        </w:tc>
      </w:tr>
    </w:tbl>
    <w:p>
      <w:pPr>
        <w:widowControl/>
        <w:spacing w:line="560" w:lineRule="exact"/>
        <w:ind w:firstLine="720" w:firstLineChars="200"/>
        <w:jc w:val="center"/>
        <w:rPr>
          <w:rFonts w:hint="eastAsia" w:eastAsia="仿宋_GB2312"/>
          <w:bCs/>
          <w:sz w:val="28"/>
          <w:szCs w:val="28"/>
          <w:lang w:val="en-US" w:eastAsia="zh-CN"/>
        </w:rPr>
      </w:pPr>
      <w:r>
        <w:rPr>
          <w:rFonts w:hint="eastAsia" w:ascii="黑体" w:hAnsi="华文仿宋" w:eastAsia="黑体" w:cs="Arial"/>
          <w:bCs/>
          <w:sz w:val="36"/>
          <w:szCs w:val="36"/>
        </w:rPr>
        <w:t>河南理工大学</w:t>
      </w:r>
      <w:r>
        <w:rPr>
          <w:rFonts w:hint="eastAsia" w:ascii="黑体" w:hAnsi="华文仿宋" w:eastAsia="黑体" w:cs="Arial"/>
          <w:bCs/>
          <w:sz w:val="36"/>
          <w:szCs w:val="36"/>
          <w:lang w:eastAsia="zh-CN"/>
        </w:rPr>
        <w:t>应急管理学院</w:t>
      </w:r>
      <w:r>
        <w:rPr>
          <w:rFonts w:hint="eastAsia" w:ascii="黑体" w:hAnsi="华文仿宋" w:eastAsia="黑体" w:cs="Arial"/>
          <w:bCs/>
          <w:sz w:val="36"/>
          <w:szCs w:val="36"/>
        </w:rPr>
        <w:t>2018年硕士研究生招生专业目录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iragino Sans GB">
    <w:altName w:val="Anonymous"/>
    <w:panose1 w:val="00000000000000000000"/>
    <w:charset w:val="00"/>
    <w:family w:val="auto"/>
    <w:pitch w:val="default"/>
    <w:sig w:usb0="00000000" w:usb1="00000000" w:usb2="00000000" w:usb3="00000000" w:csb0="00000000" w:csb1="00000000"/>
  </w:font>
  <w:font w:name="ESRI AMFM Electric">
    <w:altName w:val="Eras Light ITC"/>
    <w:panose1 w:val="020004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ookman Old Style">
    <w:panose1 w:val="02050604050505020204"/>
    <w:charset w:val="00"/>
    <w:family w:val="auto"/>
    <w:pitch w:val="default"/>
    <w:sig w:usb0="00000287" w:usb1="00000000" w:usb2="00000000" w:usb3="00000000" w:csb0="2000009F" w:csb1="DFD70000"/>
  </w:font>
  <w:font w:name="Anonymous">
    <w:panose1 w:val="02000409000000000000"/>
    <w:charset w:val="00"/>
    <w:family w:val="auto"/>
    <w:pitch w:val="default"/>
    <w:sig w:usb0="80000007" w:usb1="00000000" w:usb2="00000000" w:usb3="00000000" w:csb0="20000111" w:csb1="40000000"/>
  </w:font>
  <w:font w:name="Eras Light ITC">
    <w:panose1 w:val="020B04020305040208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ookshelf Symbol 7">
    <w:panose1 w:val="05010101010101010101"/>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1FB0"/>
    <w:rsid w:val="08977FEA"/>
    <w:rsid w:val="271106AB"/>
    <w:rsid w:val="285E5D04"/>
    <w:rsid w:val="2A0B2286"/>
    <w:rsid w:val="2F366AA7"/>
    <w:rsid w:val="30320B3D"/>
    <w:rsid w:val="38C47446"/>
    <w:rsid w:val="3C232D31"/>
    <w:rsid w:val="3F167B93"/>
    <w:rsid w:val="3F8455E6"/>
    <w:rsid w:val="422B6838"/>
    <w:rsid w:val="429C498D"/>
    <w:rsid w:val="43B42C52"/>
    <w:rsid w:val="546839B1"/>
    <w:rsid w:val="58027A0A"/>
    <w:rsid w:val="68791213"/>
    <w:rsid w:val="791B4CC8"/>
    <w:rsid w:val="799B5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iPriority w:val="0"/>
    <w:pPr>
      <w:widowControl w:val="0"/>
      <w:adjustRightInd/>
      <w:snapToGrid/>
      <w:spacing w:after="0" w:line="300" w:lineRule="auto"/>
      <w:ind w:firstLine="480" w:firstLineChars="200"/>
      <w:jc w:val="both"/>
    </w:pPr>
    <w:rPr>
      <w:rFonts w:ascii="Times New Roman" w:hAnsi="Times New Roman" w:eastAsia="宋体" w:cs="Times New Roman"/>
      <w:kern w:val="2"/>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none"/>
    </w:r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xy20170308</dc:creator>
  <cp:lastModifiedBy>Administrator</cp:lastModifiedBy>
  <dcterms:modified xsi:type="dcterms:W3CDTF">2017-09-28T01:32:12Z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