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0"/>
        <w:gridCol w:w="2907"/>
        <w:gridCol w:w="831"/>
        <w:gridCol w:w="2492"/>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ascii="Helvetica" w:hAnsi="Helvetica" w:eastAsia="Helvetica" w:cs="Helvetica"/>
                <w:b/>
                <w:color w:val="333333"/>
                <w:sz w:val="21"/>
                <w:szCs w:val="21"/>
              </w:rPr>
            </w:pPr>
            <w:bookmarkStart w:id="0" w:name="_GoBack"/>
            <w:r>
              <w:rPr>
                <w:rFonts w:hint="default" w:ascii="Helvetica" w:hAnsi="Helvetica" w:eastAsia="Helvetica" w:cs="Helvetica"/>
                <w:b/>
                <w:color w:val="333333"/>
                <w:kern w:val="0"/>
                <w:sz w:val="21"/>
                <w:szCs w:val="21"/>
                <w:bdr w:val="none" w:color="auto" w:sz="0" w:space="0"/>
                <w:lang w:val="en-US" w:eastAsia="zh-CN" w:bidi="ar"/>
              </w:rPr>
              <w:t>方向代码</w:t>
            </w:r>
          </w:p>
        </w:tc>
        <w:tc>
          <w:tcPr>
            <w:tcW w:w="175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研究方向</w:t>
            </w:r>
          </w:p>
        </w:tc>
        <w:tc>
          <w:tcPr>
            <w:tcW w:w="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预计招生人数</w:t>
            </w:r>
          </w:p>
        </w:tc>
        <w:tc>
          <w:tcPr>
            <w:tcW w:w="1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考试科目</w:t>
            </w:r>
          </w:p>
        </w:tc>
        <w:tc>
          <w:tcPr>
            <w:tcW w:w="75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Style w:val="5"/>
                <w:rFonts w:hint="default" w:ascii="Helvetica" w:hAnsi="Helvetica" w:eastAsia="Helvetica" w:cs="Helvetica"/>
                <w:b/>
                <w:color w:val="333333"/>
                <w:sz w:val="21"/>
                <w:szCs w:val="21"/>
                <w:bdr w:val="none" w:color="auto" w:sz="0" w:space="0"/>
                <w:lang w:val="en-US" w:eastAsia="zh-CN" w:bidi="ar"/>
              </w:rPr>
              <w:t>071003 生理学</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74</w:t>
            </w:r>
          </w:p>
        </w:tc>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营养与代谢调控和肿瘤形成</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①101思想政治理论②201英语一③612生物化学与分子生物学④847生理学或852细胞生物学</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学术型硕博连读生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肝脏脂质代谢</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分子流行病学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代谢的遗传与营养调控研究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糖脂代谢稳态调控及紊乱相关疾病研究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胰岛素抵抗、2型糖尿病、非酒精性脂肪性肝病和肥胖等代谢性疾病的发病机制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脂代谢与营养疾病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甲状腺激素调控代谢及甲状腺相关疾病的基础研究和转化研究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09</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生物化学与代谢生物学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10</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营养流行病学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Style w:val="5"/>
                <w:rFonts w:hint="default" w:ascii="Helvetica" w:hAnsi="Helvetica" w:eastAsia="Helvetica" w:cs="Helvetica"/>
                <w:b/>
                <w:color w:val="333333"/>
                <w:sz w:val="21"/>
                <w:szCs w:val="21"/>
                <w:bdr w:val="none" w:color="auto" w:sz="0" w:space="0"/>
                <w:lang w:val="en-US" w:eastAsia="zh-CN" w:bidi="ar"/>
              </w:rPr>
              <w:t>071009 细胞生物学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选择性剪接调控在发育和疾病中的作用</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①101思想政治理论②201英语一③612生物化学与分子生物学④847生理学或852细胞生物学</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学术型硕博连读生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肿瘤转移分子机制，聚焦癌细胞与转移微环境的互作以及肿瘤干细胞在肿瘤转移中的作用等</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多能干细胞命运决定的分子调控机制研究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非编码RNA基因表达调控与疾病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人类重大疾病发生的遗传学和表现遗传学基础</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肿瘤生物学、肿瘤药理学研究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免疫遗传</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血液-循环系统协同发育与稳态调控</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09</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肿瘤细胞可塑性表观遗传调控</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10</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粘膜免疫，肠道免疫，天然淋巴细胞</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肿瘤微环境与细胞衰老</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研究非整倍体（异常的染色体组）对细胞命运决定以及肿瘤发生发展的影响</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血液肿瘤学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干细胞与组织微环境；代谢调控与免疫</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人类恶性肿瘤进展的分子机制及干预策略</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食品安全</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炎症与分子免疫学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肿瘤分子生物学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19</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上皮细胞极性和肿瘤</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20</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干细胞生物学，皮肤干细胞，非编码RNA，皮肤衰老与皮肤相关疾病，皮肤组织工程与创伤修复</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炎症相关肿瘤的发生发展机制和防治策略</w:t>
            </w:r>
            <w:r>
              <w:rPr>
                <w:rFonts w:hint="default" w:ascii="Helvetica" w:hAnsi="Helvetica" w:eastAsia="Helvetica" w:cs="Helvetica"/>
                <w:color w:val="333333"/>
                <w:kern w:val="0"/>
                <w:sz w:val="21"/>
                <w:szCs w:val="21"/>
                <w:bdr w:val="none" w:color="auto" w:sz="0" w:space="0"/>
                <w:lang w:val="en-US" w:eastAsia="zh-CN" w:bidi="ar"/>
              </w:rPr>
              <w:br w:type="textWrapping"/>
            </w:r>
            <w:r>
              <w:rPr>
                <w:rFonts w:hint="default" w:ascii="Helvetica" w:hAnsi="Helvetica" w:eastAsia="Helvetica" w:cs="Helvetica"/>
                <w:color w:val="333333"/>
                <w:kern w:val="0"/>
                <w:sz w:val="21"/>
                <w:szCs w:val="21"/>
                <w:bdr w:val="none" w:color="auto" w:sz="0" w:space="0"/>
                <w:lang w:val="en-US" w:eastAsia="zh-CN" w:bidi="ar"/>
              </w:rPr>
              <w:t>肠道免疫细胞发育和功能调控</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细胞程序性坏死及其生理病理作用机制研究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血液与循环系统疾病研究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Style w:val="5"/>
                <w:rFonts w:hint="default" w:ascii="Helvetica" w:hAnsi="Helvetica" w:eastAsia="Helvetica" w:cs="Helvetica"/>
                <w:b/>
                <w:color w:val="333333"/>
                <w:sz w:val="21"/>
                <w:szCs w:val="21"/>
                <w:bdr w:val="none" w:color="auto" w:sz="0" w:space="0"/>
                <w:lang w:val="en-US" w:eastAsia="zh-CN" w:bidi="ar"/>
              </w:rPr>
              <w:t>0710Z2 计算生物学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系统基因组学，计算生物学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①101思想政治理论②201英语一③301数学一或612生物化学与分子生物学④806普通物理(乙)或852细胞生物学或864程序设计</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学术型硕博连读生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系统发生学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人类遗传变异，基于多组学大数据的机器学习和人工智能方法</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合成生物学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理论群体遗传学、进化生物学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基因表达调控和表观基因组学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皮肤基因组学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系统神经科学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09</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计算生物学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10</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RNA系统生物学，RNA加工与人类疾病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表观遗传组学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系统基因组学，精准健康，生物信息学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群体基因组学、计算生物学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计算生物学、大数据生物学、多组学整合生物学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Style w:val="5"/>
                <w:rFonts w:hint="default" w:ascii="Helvetica" w:hAnsi="Helvetica" w:eastAsia="Helvetica" w:cs="Helvetica"/>
                <w:b/>
                <w:color w:val="333333"/>
                <w:sz w:val="21"/>
                <w:szCs w:val="21"/>
                <w:bdr w:val="none" w:color="auto" w:sz="0" w:space="0"/>
                <w:lang w:val="en-US" w:eastAsia="zh-CN" w:bidi="ar"/>
              </w:rPr>
              <w:t>100102 免疫学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免疫遗传</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①101思想政治理论②201英语一③623生物医学综合</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学术型硕博连读生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免疫相关疾病的病理机制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粘膜免疫，肠道免疫，天然淋巴细胞</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干细胞与组织微环境；代谢调控与免疫</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炎症与分子免疫学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群体基因组学、计算生物学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炎症相关肿瘤的发生发展机制和防治策略</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血液与循环系统疾病研究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Style w:val="5"/>
                <w:rFonts w:hint="default" w:ascii="Helvetica" w:hAnsi="Helvetica" w:eastAsia="Helvetica" w:cs="Helvetica"/>
                <w:b/>
                <w:color w:val="333333"/>
                <w:sz w:val="21"/>
                <w:szCs w:val="21"/>
                <w:bdr w:val="none" w:color="auto" w:sz="0" w:space="0"/>
                <w:lang w:val="en-US" w:eastAsia="zh-CN" w:bidi="ar"/>
              </w:rPr>
              <w:t>100104 病理学与病理生理学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gridSpan w:val="2"/>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营养与代谢调控和肿瘤形成</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①101思想政治理论②201英语一③623生物医学综合</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学术型硕博连读生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肝脏脂质代谢</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选择性剪接调控在发育和疾病中的作用</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分子流行病学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代谢的遗传与营养调控研究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肿瘤转移分子机制，聚焦癌细胞与转移微环境的互作以及肿瘤干细胞在肿瘤转移中的作用等</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非编码RNA基因表达调控与疾病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人类重大疾病发生的遗传学和表现遗传学基础</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09</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肿瘤生物学、肿瘤药理学研究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10</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糖脂代谢稳态调控及紊乱相关疾病研究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胰岛素抵抗、2型糖尿病、非酒精性脂肪性肝病和肥胖等代谢性疾病的发病机制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血液-循环系统协同发育与稳态调控</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肿瘤微环境与细胞衰老</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血液肿瘤学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人类恶性肿瘤进展的分子机制及干预策略</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RNA系统生物学，RNA加工与人类疾病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系统基因组学；精准健康；计算生物学；生物信息学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肿瘤分子生物学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19</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脂代谢与营养疾病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20</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甲状腺激素调控代谢及甲状腺相关疾病的基础研究和转化研究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生物化学与代谢生物学</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上皮细胞极性和肿瘤</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干细胞生物学，皮肤干细胞，非编码RNA，皮肤衰老与皮肤相关疾病，皮肤组织工程与创伤修复</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24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细胞程序性坏死及其生理病理作用机制研究</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bookmarkEnd w:id="0"/>
    </w:tbl>
    <w:p>
      <w:pPr>
        <w:pStyle w:val="12"/>
        <w:keepNext w:val="0"/>
        <w:keepLines w:val="0"/>
        <w:widowControl/>
        <w:suppressLineNumbers w:val="0"/>
        <w:spacing w:before="300" w:beforeAutospacing="0" w:afterAutospacing="1"/>
        <w:ind w:left="-226" w:right="-226"/>
      </w:pPr>
      <w:r>
        <w:rPr>
          <w:rStyle w:val="5"/>
          <w:shd w:val="clear" w:fill="FFFFFF"/>
        </w:rPr>
        <w:t>086000 生物与医药</w:t>
      </w:r>
    </w:p>
    <w:tbl>
      <w:tblPr>
        <w:tblW w:w="5000" w:type="pct"/>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0"/>
        <w:gridCol w:w="1661"/>
        <w:gridCol w:w="831"/>
        <w:gridCol w:w="831"/>
        <w:gridCol w:w="1661"/>
        <w:gridCol w:w="1661"/>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方向代码</w:t>
            </w:r>
          </w:p>
        </w:tc>
        <w:tc>
          <w:tcPr>
            <w:tcW w:w="10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研究方向</w:t>
            </w:r>
          </w:p>
        </w:tc>
        <w:tc>
          <w:tcPr>
            <w:tcW w:w="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招生导师</w:t>
            </w:r>
          </w:p>
        </w:tc>
        <w:tc>
          <w:tcPr>
            <w:tcW w:w="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预计招生人数</w:t>
            </w:r>
          </w:p>
        </w:tc>
        <w:tc>
          <w:tcPr>
            <w:tcW w:w="10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考试科目</w:t>
            </w:r>
          </w:p>
        </w:tc>
        <w:tc>
          <w:tcPr>
            <w:tcW w:w="10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第二导师</w:t>
            </w:r>
          </w:p>
        </w:tc>
        <w:tc>
          <w:tcPr>
            <w:tcW w:w="500" w:type="pc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b/>
                <w:color w:val="333333"/>
                <w:sz w:val="21"/>
                <w:szCs w:val="21"/>
              </w:rPr>
            </w:pPr>
            <w:r>
              <w:rPr>
                <w:rFonts w:hint="default" w:ascii="Helvetica" w:hAnsi="Helvetica" w:eastAsia="Helvetica" w:cs="Helvetica"/>
                <w:b/>
                <w:color w:val="333333"/>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7"/>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01</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竞争情报、专利情报</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江洪波</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①101思想政治理论②204英语二③338生物化学④852细胞生物学或862计算机学科综合（非专业）</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李彩辉，高级工程师，三生生物制药集团</w:t>
            </w:r>
          </w:p>
        </w:tc>
        <w:tc>
          <w:tcPr>
            <w:tcW w:w="0" w:type="auto"/>
            <w:vMerge w:val="restart"/>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专业硕士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02</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生物情报学</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徐萍</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肖宏，编审，中国学术期刊（光盘版）电子杂志社</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03</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生物医学数据库和知识库</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张国庆</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张敬谊，教授级高级工程师，万达信息股份有限公司</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04</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人类干细胞高效分化心肌细胞用于心脏病治疗的临床应用研究</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荆清</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杨柳，研究员，科元医学科技（上海）股份有限公司</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05</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肿瘤转移多肽药物开发</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胡国宏</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苏云鹏，高级工程师，百家汇制药</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06</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表型组学</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汪思佳</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陈钢，高级工程师，深圳市早知道科技有限公司（微基因）</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07</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生命科学与健康领域的战略情报研究及决策咨询</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熊燕</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董辉，研究员，上海南方基因科技有限公司</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08</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生命科学及相关学科领域的科技情报研究</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于建荣</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同上</w:t>
            </w:r>
          </w:p>
        </w:tc>
        <w:tc>
          <w:tcPr>
            <w:tcW w:w="0" w:type="auto"/>
            <w:shd w:val="clear"/>
            <w:tcMar>
              <w:top w:w="0" w:type="dxa"/>
              <w:left w:w="0" w:type="dxa"/>
              <w:bottom w:w="0" w:type="dxa"/>
              <w:right w:w="0" w:type="dxa"/>
            </w:tcMar>
            <w:vAlign w:val="center"/>
          </w:tcPr>
          <w:p>
            <w:pPr>
              <w:keepNext w:val="0"/>
              <w:keepLines w:val="0"/>
              <w:widowControl/>
              <w:suppressLineNumbers w:val="0"/>
              <w:spacing w:line="21" w:lineRule="atLeast"/>
              <w:jc w:val="left"/>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bdr w:val="none" w:color="auto" w:sz="0" w:space="0"/>
                <w:lang w:val="en-US" w:eastAsia="zh-CN" w:bidi="ar"/>
              </w:rPr>
              <w:t>张春阳，副主任医师，中科院上海生命科学研究院元合生物联合医学中心</w:t>
            </w:r>
          </w:p>
        </w:tc>
        <w:tc>
          <w:tcPr>
            <w:tcW w:w="0" w:type="auto"/>
            <w:vMerge w:val="continue"/>
            <w:shd w:val="clear"/>
            <w:tcMar>
              <w:top w:w="0" w:type="dxa"/>
              <w:left w:w="0" w:type="dxa"/>
              <w:bottom w:w="0" w:type="dxa"/>
              <w:right w:w="0" w:type="dxa"/>
            </w:tcMar>
            <w:vAlign w:val="center"/>
          </w:tcPr>
          <w:p>
            <w:pPr>
              <w:rPr>
                <w:rFonts w:hint="default" w:ascii="Helvetica" w:hAnsi="Helvetica" w:eastAsia="Helvetica" w:cs="Helvetica"/>
                <w:color w:val="333333"/>
                <w:sz w:val="21"/>
                <w:szCs w:val="21"/>
              </w:rPr>
            </w:pPr>
          </w:p>
        </w:tc>
      </w:tr>
    </w:tbl>
    <w:p>
      <w:pPr>
        <w:pStyle w:val="2"/>
        <w:keepNext w:val="0"/>
        <w:keepLines w:val="0"/>
        <w:widowControl/>
        <w:suppressLineNumbers w:val="0"/>
        <w:spacing w:before="300" w:beforeAutospacing="0" w:after="300" w:afterAutospacing="0" w:line="23" w:lineRule="atLeast"/>
        <w:ind w:left="-226" w:right="-226"/>
        <w:rPr>
          <w:rFonts w:hint="default" w:ascii="微软雅黑" w:hAnsi="微软雅黑" w:eastAsia="微软雅黑" w:cs="微软雅黑"/>
          <w:color w:val="000000"/>
          <w:sz w:val="21"/>
          <w:szCs w:val="21"/>
        </w:rPr>
      </w:pPr>
      <w:r>
        <w:rPr>
          <w:rFonts w:hint="eastAsia" w:ascii="微软雅黑" w:hAnsi="微软雅黑" w:eastAsia="微软雅黑" w:cs="微软雅黑"/>
          <w:color w:val="000000"/>
          <w:sz w:val="21"/>
          <w:szCs w:val="21"/>
          <w:bdr w:val="none" w:color="auto" w:sz="0" w:space="0"/>
          <w:shd w:val="clear" w:fill="FFFFFF"/>
        </w:rPr>
        <w:t>备注：</w:t>
      </w:r>
      <w:r>
        <w:rPr>
          <w:rFonts w:hint="eastAsia" w:ascii="微软雅黑" w:hAnsi="微软雅黑" w:eastAsia="微软雅黑" w:cs="微软雅黑"/>
          <w:color w:val="000000"/>
          <w:sz w:val="21"/>
          <w:szCs w:val="21"/>
          <w:bdr w:val="none" w:color="auto" w:sz="0" w:space="0"/>
          <w:shd w:val="clear" w:fill="FFFFFF"/>
        </w:rPr>
        <w:br w:type="textWrapping"/>
      </w:r>
      <w:r>
        <w:rPr>
          <w:rFonts w:hint="eastAsia" w:ascii="微软雅黑" w:hAnsi="微软雅黑" w:eastAsia="微软雅黑" w:cs="微软雅黑"/>
          <w:color w:val="000000"/>
          <w:sz w:val="21"/>
          <w:szCs w:val="21"/>
          <w:bdr w:val="none" w:color="auto" w:sz="0" w:space="0"/>
          <w:shd w:val="clear" w:fill="FFFFFF"/>
        </w:rPr>
        <w:t>“101思想政治理论、201英语一、204英语二、301数学一”由全国统一命题</w:t>
      </w:r>
      <w:r>
        <w:rPr>
          <w:rFonts w:hint="eastAsia" w:ascii="微软雅黑" w:hAnsi="微软雅黑" w:eastAsia="微软雅黑" w:cs="微软雅黑"/>
          <w:color w:val="000000"/>
          <w:sz w:val="21"/>
          <w:szCs w:val="21"/>
          <w:bdr w:val="none" w:color="auto" w:sz="0" w:space="0"/>
          <w:shd w:val="clear" w:fill="FFFFFF"/>
        </w:rPr>
        <w:br w:type="textWrapping"/>
      </w:r>
      <w:r>
        <w:rPr>
          <w:rFonts w:hint="eastAsia" w:ascii="微软雅黑" w:hAnsi="微软雅黑" w:eastAsia="微软雅黑" w:cs="微软雅黑"/>
          <w:color w:val="000000"/>
          <w:sz w:val="21"/>
          <w:szCs w:val="21"/>
          <w:bdr w:val="none" w:color="auto" w:sz="0" w:space="0"/>
          <w:shd w:val="clear" w:fill="FFFFFF"/>
        </w:rPr>
        <w:t>“338生物化学、612生物化学与分子生物学、623生物医学综合、852细胞生物学、847生理学、806普通物理(乙)、864程序设计、862计算机学科综合（非专业）”由中国科学院大学命题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32710"/>
    <w:rsid w:val="7BB3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7AB7"/>
      <w:u w:val="none"/>
      <w:shd w:val="clear" w:fill="F0AD4E"/>
    </w:rPr>
  </w:style>
  <w:style w:type="character" w:styleId="7">
    <w:name w:val="HTML Definition"/>
    <w:basedOn w:val="4"/>
    <w:uiPriority w:val="0"/>
    <w:rPr>
      <w:i/>
    </w:rPr>
  </w:style>
  <w:style w:type="character" w:styleId="8">
    <w:name w:val="Hyperlink"/>
    <w:basedOn w:val="4"/>
    <w:uiPriority w:val="0"/>
    <w:rPr>
      <w:color w:val="337AB7"/>
      <w:u w:val="non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 w:type="paragraph" w:customStyle="1" w:styleId="12">
    <w:name w:val="text-center"/>
    <w:basedOn w:val="1"/>
    <w:uiPriority w:val="0"/>
    <w:pPr>
      <w:jc w:val="center"/>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2020-03-17T06:25:00Z</dcterms:created>
  <dc:creator>Administrator</dc:creator>
  <cp:lastModifiedBy>Administrator</cp:lastModifiedBy>
  <dcterms:modified xsi:type="dcterms:W3CDTF">2020-03-17T06:30:45Z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