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湖南师范大学</w:t>
      </w:r>
      <w:r>
        <w:rPr>
          <w:rFonts w:ascii="Times New Roman" w:hAnsi="Times New Roman" w:eastAsia="黑体" w:cs="Times New Roman"/>
          <w:sz w:val="32"/>
          <w:szCs w:val="32"/>
        </w:rPr>
        <w:t>硕士研究生入学考试自命题考试大纲</w:t>
      </w:r>
    </w:p>
    <w:p>
      <w:pPr>
        <w:spacing w:line="360" w:lineRule="auto"/>
        <w:jc w:val="center"/>
        <w:rPr>
          <w:rFonts w:ascii="Times New Roman" w:hAnsi="Times New Roman" w:eastAsia="方正书宋简体" w:cs="Times New Roman"/>
          <w:sz w:val="24"/>
          <w:szCs w:val="24"/>
        </w:rPr>
      </w:pPr>
      <w:r>
        <w:rPr>
          <w:rFonts w:ascii="Times New Roman" w:hAnsi="Times New Roman" w:eastAsia="方正书宋简体" w:cs="Times New Roman"/>
          <w:sz w:val="24"/>
          <w:szCs w:val="24"/>
        </w:rPr>
        <w:t>考试科目代码：[</w:t>
      </w:r>
      <w:r>
        <w:rPr>
          <w:rFonts w:hint="eastAsia" w:ascii="Times New Roman" w:hAnsi="Times New Roman" w:eastAsia="方正书宋简体" w:cs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方正书宋简体" w:cs="Times New Roman"/>
          <w:sz w:val="24"/>
          <w:szCs w:val="24"/>
        </w:rPr>
        <w:t>]               考试科目名称：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药剂学（药学专业用）</w:t>
      </w:r>
    </w:p>
    <w:p>
      <w:pPr>
        <w:spacing w:line="360" w:lineRule="auto"/>
        <w:rPr>
          <w:rFonts w:ascii="Times New Roman" w:hAnsi="Times New Roman" w:eastAsia="方正书宋简体" w:cs="Times New Roman"/>
          <w:sz w:val="24"/>
          <w:szCs w:val="24"/>
        </w:rPr>
      </w:pPr>
    </w:p>
    <w:p>
      <w:pPr>
        <w:spacing w:beforeLines="50" w:afterLines="50" w:line="360" w:lineRule="auto"/>
        <w:rPr>
          <w:rFonts w:ascii="Times New Roman" w:hAnsi="Times New Roman" w:eastAsia="方正书宋简体" w:cs="Times New Roman"/>
          <w:sz w:val="24"/>
          <w:szCs w:val="24"/>
        </w:rPr>
      </w:pPr>
      <w:r>
        <w:rPr>
          <w:rFonts w:ascii="Times New Roman" w:hAnsi="Times New Roman" w:eastAsia="方正书宋简体" w:cs="Times New Roman"/>
          <w:sz w:val="24"/>
          <w:szCs w:val="24"/>
        </w:rPr>
        <w:t>一、试卷结构</w:t>
      </w:r>
    </w:p>
    <w:p>
      <w:pPr>
        <w:spacing w:beforeLines="50" w:afterLines="50" w:line="360" w:lineRule="auto"/>
        <w:ind w:firstLine="480" w:firstLineChars="200"/>
        <w:rPr>
          <w:rFonts w:ascii="Times New Roman" w:hAnsi="Times New Roman" w:eastAsia="方正书宋简体" w:cs="Times New Roman"/>
          <w:sz w:val="24"/>
          <w:szCs w:val="24"/>
        </w:rPr>
      </w:pPr>
      <w:r>
        <w:rPr>
          <w:rFonts w:ascii="Times New Roman" w:hAnsi="Times New Roman" w:eastAsia="方正书宋简体" w:cs="Times New Roman"/>
          <w:sz w:val="24"/>
          <w:szCs w:val="24"/>
        </w:rPr>
        <w:t>1) 试卷成绩及考试时间</w:t>
      </w:r>
    </w:p>
    <w:p>
      <w:pPr>
        <w:spacing w:beforeLines="50" w:afterLines="50" w:line="360" w:lineRule="auto"/>
        <w:ind w:firstLine="480" w:firstLineChars="200"/>
        <w:rPr>
          <w:rFonts w:ascii="Times New Roman" w:hAnsi="Times New Roman" w:eastAsia="方正书宋简体" w:cs="Times New Roman"/>
          <w:sz w:val="24"/>
          <w:szCs w:val="24"/>
        </w:rPr>
      </w:pP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本试卷考试时间为</w:t>
      </w:r>
      <w:r>
        <w:rPr>
          <w:rFonts w:ascii="Times New Roman" w:hAnsi="Times New Roman" w:eastAsia="宋体" w:cs="Times New Roman"/>
          <w:kern w:val="0"/>
          <w:sz w:val="24"/>
          <w:szCs w:val="24"/>
          <w:lang w:bidi="hi-IN"/>
        </w:rPr>
        <w:t>1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bidi="hi-IN"/>
        </w:rPr>
        <w:t>8</w:t>
      </w:r>
      <w:r>
        <w:rPr>
          <w:rFonts w:ascii="Times New Roman" w:hAnsi="Times New Roman" w:eastAsia="宋体" w:cs="Times New Roman"/>
          <w:kern w:val="0"/>
          <w:sz w:val="24"/>
          <w:szCs w:val="24"/>
          <w:lang w:bidi="hi-IN"/>
        </w:rPr>
        <w:t>0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分钟。</w:t>
      </w:r>
    </w:p>
    <w:p>
      <w:pPr>
        <w:spacing w:beforeLines="50" w:afterLines="50" w:line="360" w:lineRule="auto"/>
        <w:ind w:left="420"/>
        <w:rPr>
          <w:rFonts w:ascii="Times New Roman" w:hAnsi="Times New Roman" w:eastAsia="方正书宋简体" w:cs="Times New Roman"/>
          <w:sz w:val="24"/>
          <w:szCs w:val="24"/>
        </w:rPr>
      </w:pPr>
      <w:r>
        <w:rPr>
          <w:rFonts w:ascii="Times New Roman" w:hAnsi="Times New Roman" w:eastAsia="方正书宋简体" w:cs="Times New Roman"/>
          <w:sz w:val="24"/>
          <w:szCs w:val="24"/>
        </w:rPr>
        <w:t>2)答题方式：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闭卷、笔试</w:t>
      </w:r>
    </w:p>
    <w:p>
      <w:pPr>
        <w:spacing w:beforeLines="50" w:afterLines="50" w:line="360" w:lineRule="auto"/>
        <w:ind w:left="420"/>
        <w:rPr>
          <w:rFonts w:ascii="Times New Roman" w:hAnsi="Times New Roman" w:eastAsia="方正书宋简体" w:cs="Times New Roman"/>
          <w:sz w:val="24"/>
          <w:szCs w:val="24"/>
        </w:rPr>
      </w:pPr>
      <w:r>
        <w:rPr>
          <w:rFonts w:ascii="Times New Roman" w:hAnsi="Times New Roman" w:eastAsia="方正书宋简体" w:cs="Times New Roman"/>
          <w:sz w:val="24"/>
          <w:szCs w:val="24"/>
        </w:rPr>
        <w:t>3)试卷内容结构</w:t>
      </w:r>
    </w:p>
    <w:p>
      <w:pPr>
        <w:spacing w:beforeLines="50" w:afterLines="50"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Times New Roman" w:hAnsi="宋体" w:eastAsia="宋体" w:cs="Times New Roman"/>
          <w:color w:val="000000" w:themeColor="text1"/>
          <w:kern w:val="0"/>
          <w:sz w:val="24"/>
          <w:szCs w:val="24"/>
          <w:lang w:bidi="hi-IN"/>
        </w:rPr>
        <w:t>药剂学</w:t>
      </w:r>
      <w:r>
        <w:rPr>
          <w:rFonts w:ascii="Times New Roman" w:hAnsi="宋体" w:eastAsia="宋体" w:cs="Times New Roman"/>
          <w:color w:val="000000" w:themeColor="text1"/>
          <w:kern w:val="0"/>
          <w:sz w:val="24"/>
          <w:szCs w:val="24"/>
          <w:lang w:bidi="hi-IN"/>
        </w:rPr>
        <w:t>　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val="en-US" w:eastAsia="zh-CN" w:bidi="hi-IN"/>
        </w:rPr>
        <w:t>100%</w:t>
      </w:r>
    </w:p>
    <w:p>
      <w:pPr>
        <w:spacing w:beforeLines="50" w:afterLines="50" w:line="360" w:lineRule="auto"/>
        <w:ind w:left="420"/>
        <w:rPr>
          <w:rFonts w:ascii="Times New Roman" w:hAnsi="Times New Roman" w:eastAsia="方正书宋简体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方正书宋简体" w:cs="Times New Roman"/>
          <w:color w:val="000000" w:themeColor="text1"/>
          <w:sz w:val="24"/>
          <w:szCs w:val="24"/>
        </w:rPr>
        <w:t>4)题型结构</w:t>
      </w:r>
    </w:p>
    <w:p>
      <w:pPr>
        <w:spacing w:beforeLines="50" w:afterLines="50"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val="en-US" w:eastAsia="zh-CN" w:bidi="hi-IN"/>
        </w:rPr>
      </w:pPr>
      <w:r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  <w:lang w:bidi="hi-IN"/>
        </w:rPr>
        <w:t xml:space="preserve">a: </w:t>
      </w:r>
      <w:r>
        <w:rPr>
          <w:rFonts w:hint="eastAsia" w:ascii="Times New Roman" w:hAnsi="宋体" w:eastAsia="宋体" w:cs="Times New Roman"/>
          <w:color w:val="000000" w:themeColor="text1"/>
          <w:kern w:val="0"/>
          <w:sz w:val="24"/>
          <w:szCs w:val="24"/>
          <w:lang w:bidi="hi-IN"/>
        </w:rPr>
        <w:t>名词解释</w:t>
      </w:r>
      <w:r>
        <w:rPr>
          <w:rFonts w:ascii="Times New Roman" w:hAnsi="宋体" w:eastAsia="宋体" w:cs="Times New Roman"/>
          <w:color w:val="000000" w:themeColor="text1"/>
          <w:kern w:val="0"/>
          <w:sz w:val="24"/>
          <w:szCs w:val="24"/>
          <w:lang w:bidi="hi-IN"/>
        </w:rPr>
        <w:t>，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bidi="hi-IN"/>
        </w:rPr>
        <w:t>10</w:t>
      </w:r>
      <w:r>
        <w:rPr>
          <w:rFonts w:ascii="Times New Roman" w:hAnsi="宋体" w:eastAsia="宋体" w:cs="Times New Roman"/>
          <w:color w:val="000000" w:themeColor="text1"/>
          <w:kern w:val="0"/>
          <w:sz w:val="24"/>
          <w:szCs w:val="24"/>
          <w:lang w:bidi="hi-IN"/>
        </w:rPr>
        <w:t>小题，</w:t>
      </w:r>
      <w:r>
        <w:rPr>
          <w:rFonts w:hint="eastAsia" w:ascii="Times New Roman" w:hAnsi="宋体" w:eastAsia="宋体" w:cs="Times New Roman"/>
          <w:color w:val="000000" w:themeColor="text1"/>
          <w:kern w:val="0"/>
          <w:sz w:val="24"/>
          <w:szCs w:val="24"/>
          <w:lang w:bidi="hi-IN"/>
        </w:rPr>
        <w:t>各计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val="en-US" w:eastAsia="zh-CN" w:bidi="hi-IN"/>
        </w:rPr>
        <w:t>3%</w:t>
      </w:r>
      <w:r>
        <w:rPr>
          <w:rFonts w:ascii="Times New Roman" w:hAnsi="宋体" w:eastAsia="宋体" w:cs="Times New Roman"/>
          <w:color w:val="000000" w:themeColor="text1"/>
          <w:kern w:val="0"/>
          <w:sz w:val="24"/>
          <w:szCs w:val="24"/>
          <w:lang w:bidi="hi-IN"/>
        </w:rPr>
        <w:t>，共</w:t>
      </w:r>
      <w:r>
        <w:rPr>
          <w:rFonts w:hint="eastAsia" w:ascii="Times New Roman" w:hAnsi="宋体" w:eastAsia="宋体" w:cs="Times New Roman"/>
          <w:color w:val="000000" w:themeColor="text1"/>
          <w:kern w:val="0"/>
          <w:sz w:val="24"/>
          <w:szCs w:val="24"/>
          <w:lang w:bidi="hi-IN"/>
        </w:rPr>
        <w:t>计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val="en-US" w:eastAsia="zh-CN" w:bidi="hi-IN"/>
        </w:rPr>
        <w:t>30%</w:t>
      </w:r>
    </w:p>
    <w:p>
      <w:pPr>
        <w:spacing w:beforeLines="50" w:afterLines="50"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eastAsia="zh-CN" w:bidi="hi-IN"/>
        </w:rPr>
      </w:pPr>
      <w:r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  <w:lang w:bidi="hi-IN"/>
        </w:rPr>
        <w:t xml:space="preserve">b: </w:t>
      </w:r>
      <w:r>
        <w:rPr>
          <w:rFonts w:hint="eastAsia" w:ascii="Times New Roman" w:hAnsi="宋体" w:eastAsia="宋体" w:cs="Times New Roman"/>
          <w:color w:val="000000" w:themeColor="text1"/>
          <w:kern w:val="0"/>
          <w:sz w:val="24"/>
          <w:szCs w:val="24"/>
          <w:lang w:bidi="hi-IN"/>
        </w:rPr>
        <w:t>简答题</w:t>
      </w:r>
      <w:r>
        <w:rPr>
          <w:rFonts w:ascii="Times New Roman" w:hAnsi="宋体" w:eastAsia="宋体" w:cs="Times New Roman"/>
          <w:color w:val="000000" w:themeColor="text1"/>
          <w:kern w:val="0"/>
          <w:sz w:val="24"/>
          <w:szCs w:val="24"/>
          <w:lang w:bidi="hi-IN"/>
        </w:rPr>
        <w:t>，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bidi="hi-IN"/>
        </w:rPr>
        <w:t>5</w:t>
      </w:r>
      <w:r>
        <w:rPr>
          <w:rFonts w:ascii="Times New Roman" w:hAnsi="宋体" w:eastAsia="宋体" w:cs="Times New Roman"/>
          <w:color w:val="000000" w:themeColor="text1"/>
          <w:kern w:val="0"/>
          <w:sz w:val="24"/>
          <w:szCs w:val="24"/>
          <w:lang w:bidi="hi-IN"/>
        </w:rPr>
        <w:t>小题，</w:t>
      </w:r>
      <w:r>
        <w:rPr>
          <w:rFonts w:hint="eastAsia" w:ascii="Times New Roman" w:hAnsi="宋体" w:eastAsia="宋体" w:cs="Times New Roman"/>
          <w:color w:val="000000" w:themeColor="text1"/>
          <w:kern w:val="0"/>
          <w:sz w:val="24"/>
          <w:szCs w:val="24"/>
          <w:lang w:bidi="hi-IN"/>
        </w:rPr>
        <w:t>各计6</w:t>
      </w:r>
      <w:r>
        <w:rPr>
          <w:rFonts w:hint="eastAsia" w:ascii="Times New Roman" w:hAnsi="宋体" w:eastAsia="宋体" w:cs="Times New Roman"/>
          <w:color w:val="000000" w:themeColor="text1"/>
          <w:kern w:val="0"/>
          <w:sz w:val="24"/>
          <w:szCs w:val="24"/>
          <w:lang w:val="en-US" w:eastAsia="zh-CN" w:bidi="hi-IN"/>
        </w:rPr>
        <w:t>%</w:t>
      </w:r>
      <w:r>
        <w:rPr>
          <w:rFonts w:ascii="Times New Roman" w:hAnsi="宋体" w:eastAsia="宋体" w:cs="Times New Roman"/>
          <w:color w:val="000000" w:themeColor="text1"/>
          <w:kern w:val="0"/>
          <w:sz w:val="24"/>
          <w:szCs w:val="24"/>
          <w:lang w:bidi="hi-IN"/>
        </w:rPr>
        <w:t>，共</w:t>
      </w:r>
      <w:r>
        <w:rPr>
          <w:rFonts w:hint="eastAsia" w:ascii="Times New Roman" w:hAnsi="宋体" w:eastAsia="宋体" w:cs="Times New Roman"/>
          <w:color w:val="000000" w:themeColor="text1"/>
          <w:kern w:val="0"/>
          <w:sz w:val="24"/>
          <w:szCs w:val="24"/>
          <w:lang w:bidi="hi-IN"/>
        </w:rPr>
        <w:t>计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bidi="hi-IN"/>
        </w:rPr>
        <w:t>30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val="en-US" w:eastAsia="zh-CN" w:bidi="hi-IN"/>
        </w:rPr>
        <w:t>%</w:t>
      </w:r>
    </w:p>
    <w:p>
      <w:pPr>
        <w:spacing w:beforeLines="50" w:afterLines="50" w:line="360" w:lineRule="auto"/>
        <w:ind w:firstLine="480" w:firstLineChars="200"/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val="en-US" w:eastAsia="zh-CN" w:bidi="hi-IN"/>
        </w:rPr>
      </w:pPr>
      <w:r>
        <w:rPr>
          <w:rFonts w:ascii="Times New Roman" w:hAnsi="Times New Roman" w:eastAsia="宋体" w:cs="Times New Roman"/>
          <w:color w:val="000000" w:themeColor="text1"/>
          <w:kern w:val="0"/>
          <w:sz w:val="24"/>
          <w:szCs w:val="24"/>
          <w:lang w:bidi="hi-IN"/>
        </w:rPr>
        <w:t xml:space="preserve">c: </w:t>
      </w:r>
      <w:r>
        <w:rPr>
          <w:rFonts w:hint="eastAsia" w:ascii="Times New Roman" w:hAnsi="宋体" w:eastAsia="宋体" w:cs="Times New Roman"/>
          <w:color w:val="000000" w:themeColor="text1"/>
          <w:kern w:val="0"/>
          <w:sz w:val="24"/>
          <w:szCs w:val="24"/>
          <w:lang w:bidi="hi-IN"/>
        </w:rPr>
        <w:t>问</w:t>
      </w:r>
      <w:r>
        <w:rPr>
          <w:rFonts w:ascii="Times New Roman" w:hAnsi="宋体" w:eastAsia="宋体" w:cs="Times New Roman"/>
          <w:color w:val="000000" w:themeColor="text1"/>
          <w:kern w:val="0"/>
          <w:sz w:val="24"/>
          <w:szCs w:val="24"/>
          <w:lang w:bidi="hi-IN"/>
        </w:rPr>
        <w:t>答题，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bidi="hi-IN"/>
        </w:rPr>
        <w:t>5</w:t>
      </w:r>
      <w:r>
        <w:rPr>
          <w:rFonts w:ascii="Times New Roman" w:hAnsi="宋体" w:eastAsia="宋体" w:cs="Times New Roman"/>
          <w:color w:val="000000" w:themeColor="text1"/>
          <w:kern w:val="0"/>
          <w:sz w:val="24"/>
          <w:szCs w:val="24"/>
          <w:lang w:bidi="hi-IN"/>
        </w:rPr>
        <w:t>小题，</w:t>
      </w:r>
      <w:r>
        <w:rPr>
          <w:rFonts w:hint="eastAsia" w:ascii="Times New Roman" w:hAnsi="宋体" w:eastAsia="宋体" w:cs="Times New Roman"/>
          <w:color w:val="000000" w:themeColor="text1"/>
          <w:kern w:val="0"/>
          <w:sz w:val="24"/>
          <w:szCs w:val="24"/>
          <w:lang w:bidi="hi-IN"/>
        </w:rPr>
        <w:t>各计</w:t>
      </w:r>
      <w:r>
        <w:rPr>
          <w:rFonts w:hint="eastAsia" w:ascii="Times New Roman" w:hAnsi="宋体" w:eastAsia="宋体" w:cs="Times New Roman"/>
          <w:color w:val="000000" w:themeColor="text1"/>
          <w:kern w:val="0"/>
          <w:sz w:val="24"/>
          <w:szCs w:val="24"/>
          <w:lang w:val="en-US" w:eastAsia="zh-CN" w:bidi="hi-IN"/>
        </w:rPr>
        <w:t>8%</w:t>
      </w:r>
      <w:r>
        <w:rPr>
          <w:rFonts w:ascii="Times New Roman" w:hAnsi="宋体" w:eastAsia="宋体" w:cs="Times New Roman"/>
          <w:color w:val="000000" w:themeColor="text1"/>
          <w:kern w:val="0"/>
          <w:sz w:val="24"/>
          <w:szCs w:val="24"/>
          <w:lang w:bidi="hi-IN"/>
        </w:rPr>
        <w:t>，共</w:t>
      </w:r>
      <w:r>
        <w:rPr>
          <w:rFonts w:hint="eastAsia" w:ascii="Times New Roman" w:hAnsi="宋体" w:eastAsia="宋体" w:cs="Times New Roman"/>
          <w:color w:val="000000" w:themeColor="text1"/>
          <w:kern w:val="0"/>
          <w:sz w:val="24"/>
          <w:szCs w:val="24"/>
          <w:lang w:bidi="hi-IN"/>
        </w:rPr>
        <w:t>计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 w:val="24"/>
          <w:szCs w:val="24"/>
          <w:lang w:val="en-US" w:eastAsia="zh-CN" w:bidi="hi-IN"/>
        </w:rPr>
        <w:t>40%</w:t>
      </w:r>
      <w:bookmarkStart w:id="0" w:name="_GoBack"/>
      <w:bookmarkEnd w:id="0"/>
    </w:p>
    <w:p>
      <w:pPr>
        <w:spacing w:beforeLines="50" w:afterLines="50" w:line="360" w:lineRule="auto"/>
        <w:rPr>
          <w:rFonts w:ascii="Times New Roman" w:hAnsi="Times New Roman" w:eastAsia="方正书宋简体" w:cs="Times New Roman"/>
          <w:sz w:val="24"/>
          <w:szCs w:val="24"/>
        </w:rPr>
      </w:pPr>
      <w:r>
        <w:rPr>
          <w:rFonts w:ascii="Times New Roman" w:hAnsi="Times New Roman" w:eastAsia="方正书宋简体" w:cs="Times New Roman"/>
          <w:sz w:val="24"/>
          <w:szCs w:val="24"/>
        </w:rPr>
        <w:t>二、考试内容与考试要求</w:t>
      </w:r>
    </w:p>
    <w:p>
      <w:pPr>
        <w:adjustRightInd w:val="0"/>
        <w:snapToGrid w:val="0"/>
        <w:spacing w:line="360" w:lineRule="auto"/>
        <w:jc w:val="left"/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kern w:val="0"/>
          <w:sz w:val="24"/>
          <w:szCs w:val="24"/>
          <w:lang w:bidi="hi-IN"/>
        </w:rPr>
        <w:t>1、绪论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bidi="hi-IN"/>
        </w:rPr>
        <w:t>考试内容</w:t>
      </w:r>
    </w:p>
    <w:p>
      <w:pPr>
        <w:spacing w:line="360" w:lineRule="auto"/>
        <w:ind w:left="420" w:leftChars="200" w:firstLine="480" w:firstLineChars="20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药剂学、药物、剂型、制剂、药品概念及性质；药剂学的重要性；剂型的分类方法；剂型及制剂的命名方式；药物递送系统的概念及分类；药用辅料的定义及作用；药品相关法规。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  <w:lang w:bidi="hi-IN"/>
        </w:rPr>
      </w:pPr>
      <w:r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  <w:t>考试要求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掌握药剂学、药物、剂型、制剂、药品概念，了解药剂学的重要性。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掌握药物递送系统、药用辅料定义及作用。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熟悉剂型及制剂的分类及命名方式。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了解相关药品法律法规文件。</w:t>
      </w:r>
    </w:p>
    <w:p>
      <w:pPr>
        <w:widowControl/>
        <w:spacing w:line="360" w:lineRule="auto"/>
        <w:jc w:val="left"/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kern w:val="0"/>
          <w:sz w:val="24"/>
          <w:szCs w:val="24"/>
          <w:lang w:bidi="hi-IN"/>
        </w:rPr>
        <w:t>2、药物的物理化学及相互作用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bidi="hi-IN"/>
        </w:rPr>
        <w:t>考试内容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范德华力、氢键、离子键、疏水相互作用的概念及对药物、制剂性质和制剂成型性的影响；药物与包材相互作用的类型及药物与蛋白质相互作用的影响。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  <w:lang w:bidi="hi-IN"/>
        </w:rPr>
      </w:pPr>
      <w:r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  <w:t>考试要求</w:t>
      </w:r>
    </w:p>
    <w:p>
      <w:pPr>
        <w:widowControl/>
        <w:numPr>
          <w:ilvl w:val="0"/>
          <w:numId w:val="2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熟悉药物物理化学相互作用类型。</w:t>
      </w:r>
    </w:p>
    <w:p>
      <w:pPr>
        <w:widowControl/>
        <w:numPr>
          <w:ilvl w:val="0"/>
          <w:numId w:val="2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理解药物物理化学、包材、蛋白质对药物及制剂的影响。</w:t>
      </w:r>
    </w:p>
    <w:p>
      <w:pPr>
        <w:widowControl/>
        <w:spacing w:line="360" w:lineRule="auto"/>
        <w:jc w:val="left"/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kern w:val="0"/>
          <w:sz w:val="24"/>
          <w:szCs w:val="24"/>
          <w:lang w:bidi="hi-IN"/>
        </w:rPr>
        <w:t>3、药物溶解、溶出及释放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bidi="hi-IN"/>
        </w:rPr>
        <w:t>考试内容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溶解度和溶解速度的定义、表示方法、测定方式、影响因素及改善方法；溶液特性中等渗、等张的概念及相互之间的关系；溶出与释放的概念表示方法及影响因素。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  <w:lang w:bidi="hi-IN"/>
        </w:rPr>
      </w:pPr>
      <w:r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  <w:t>考试要求</w:t>
      </w:r>
    </w:p>
    <w:p>
      <w:pPr>
        <w:widowControl/>
        <w:numPr>
          <w:ilvl w:val="0"/>
          <w:numId w:val="3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掌握溶解度及溶解速度的定义、影响因素及改善方式。</w:t>
      </w:r>
    </w:p>
    <w:p>
      <w:pPr>
        <w:widowControl/>
        <w:numPr>
          <w:ilvl w:val="0"/>
          <w:numId w:val="3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明确理解等渗和等张、溶出与释放的含义。</w:t>
      </w:r>
    </w:p>
    <w:p>
      <w:pPr>
        <w:widowControl/>
        <w:numPr>
          <w:ilvl w:val="0"/>
          <w:numId w:val="3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了解药剂学参数。</w:t>
      </w:r>
    </w:p>
    <w:p>
      <w:pPr>
        <w:widowControl/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kern w:val="0"/>
          <w:sz w:val="24"/>
          <w:szCs w:val="24"/>
          <w:lang w:bidi="hi-IN"/>
        </w:rPr>
        <w:t>4、表面活性剂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bidi="hi-IN"/>
        </w:rPr>
        <w:t>考试内容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表面活性剂的定义、结构特点、种类、性质及其作用；临界胶束浓度（CMC）的定义及影响胶束形成的因素；Krafft点、昙点及HLB值的含义；增溶机制及其影响因素；表面活性剂在药剂学的应用。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  <w:lang w:bidi="hi-IN"/>
        </w:rPr>
      </w:pPr>
      <w:r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  <w:t>考试要求</w:t>
      </w:r>
    </w:p>
    <w:p>
      <w:pPr>
        <w:widowControl/>
        <w:numPr>
          <w:ilvl w:val="0"/>
          <w:numId w:val="4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全面掌握表面活性剂及其在药剂学的应用。</w:t>
      </w:r>
    </w:p>
    <w:p>
      <w:pPr>
        <w:widowControl/>
        <w:numPr>
          <w:ilvl w:val="0"/>
          <w:numId w:val="4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掌握表面活性及的增溶机制及影响增溶的因素。</w:t>
      </w:r>
    </w:p>
    <w:p>
      <w:pPr>
        <w:widowControl/>
        <w:numPr>
          <w:ilvl w:val="0"/>
          <w:numId w:val="4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掌握HLB值含义及计算公式。</w:t>
      </w:r>
    </w:p>
    <w:p>
      <w:pPr>
        <w:widowControl/>
        <w:numPr>
          <w:ilvl w:val="0"/>
          <w:numId w:val="4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了解CMC、Krafft点和昙点定义。</w:t>
      </w:r>
    </w:p>
    <w:p>
      <w:pPr>
        <w:widowControl/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kern w:val="0"/>
          <w:sz w:val="24"/>
          <w:szCs w:val="24"/>
          <w:lang w:bidi="hi-IN"/>
        </w:rPr>
        <w:t>5、微粒分散体系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bidi="hi-IN"/>
        </w:rPr>
        <w:t>考试内容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药物微粒分散体系的概念、分类、特点、性质、应用及意义；沉降、沉降平衡、絮凝和反絮凝的定义；Stoke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’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law定律；双电层结构及模型类型、DLVO理论及其主要观点。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  <w:lang w:bidi="hi-IN"/>
        </w:rPr>
      </w:pPr>
      <w:r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  <w:t>考试要求</w:t>
      </w:r>
    </w:p>
    <w:p>
      <w:pPr>
        <w:widowControl/>
        <w:numPr>
          <w:ilvl w:val="0"/>
          <w:numId w:val="5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全面掌握药物微粒分散体系及其应用和意义。</w:t>
      </w:r>
    </w:p>
    <w:p>
      <w:pPr>
        <w:widowControl/>
        <w:numPr>
          <w:ilvl w:val="0"/>
          <w:numId w:val="5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掌握Stoke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’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law定律。</w:t>
      </w:r>
    </w:p>
    <w:p>
      <w:pPr>
        <w:widowControl/>
        <w:numPr>
          <w:ilvl w:val="0"/>
          <w:numId w:val="5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了解双电层结构及模型类型、DLVO理论及其主要观点。</w:t>
      </w:r>
    </w:p>
    <w:p>
      <w:pPr>
        <w:widowControl/>
        <w:spacing w:line="360" w:lineRule="auto"/>
        <w:jc w:val="left"/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kern w:val="0"/>
          <w:sz w:val="24"/>
          <w:szCs w:val="24"/>
          <w:lang w:bidi="hi-IN"/>
        </w:rPr>
        <w:t>6、流变学基础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bidi="hi-IN"/>
        </w:rPr>
        <w:t>考试内容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牛顿流体、塑性流体、假塑性流体、胀性流体、触变性流体的定义及特点；触变性的定义及其影响因素；黏度的表示方法、影响因素及测量方式；流变性质对不同制剂制备方法的影响。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  <w:lang w:bidi="hi-IN"/>
        </w:rPr>
      </w:pPr>
      <w:r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  <w:t>考试要求</w:t>
      </w:r>
    </w:p>
    <w:p>
      <w:pPr>
        <w:widowControl/>
        <w:numPr>
          <w:ilvl w:val="0"/>
          <w:numId w:val="6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掌握牛顿流体、塑性流体、假塑性流体、胀性流体、触变性流体的特点。</w:t>
      </w:r>
    </w:p>
    <w:p>
      <w:pPr>
        <w:widowControl/>
        <w:numPr>
          <w:ilvl w:val="0"/>
          <w:numId w:val="6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掌握流变性质在乳剂、混悬剂、软膏剂、栓剂的处方设计中的应用。</w:t>
      </w:r>
    </w:p>
    <w:p>
      <w:pPr>
        <w:widowControl/>
        <w:numPr>
          <w:ilvl w:val="0"/>
          <w:numId w:val="6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了解触变性的定义及其影响因素。</w:t>
      </w:r>
    </w:p>
    <w:p>
      <w:pPr>
        <w:widowControl/>
        <w:numPr>
          <w:ilvl w:val="0"/>
          <w:numId w:val="6"/>
        </w:num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熟悉黏度的影响因素及测量方式。</w:t>
      </w:r>
    </w:p>
    <w:p>
      <w:pPr>
        <w:widowControl/>
        <w:spacing w:line="360" w:lineRule="auto"/>
        <w:jc w:val="left"/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kern w:val="0"/>
          <w:sz w:val="24"/>
          <w:szCs w:val="24"/>
          <w:lang w:bidi="hi-IN"/>
        </w:rPr>
        <w:t>7、液体制剂的单元操作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bidi="hi-IN"/>
        </w:rPr>
        <w:t>考试内容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饮用水、纯化水、注射用水、灭菌注射用水的定义及应用范围；制药用水的制备方法；液体过滤的机制、影响过滤的因素、过滤器或过滤装置的类型及过滤的方式；灭菌、无菌、防腐、消毒的定义；灭菌的方法类型；无菌操作的内容及灭菌参数；洁净室空气标准、洁净室设计原则及其气流方式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  <w:lang w:bidi="hi-IN"/>
        </w:rPr>
      </w:pPr>
      <w:r>
        <w:rPr>
          <w:rFonts w:asciiTheme="minorEastAsia" w:hAnsiTheme="minorEastAsia"/>
          <w:b/>
          <w:sz w:val="24"/>
          <w:szCs w:val="24"/>
        </w:rPr>
        <w:t>考试</w:t>
      </w:r>
      <w:r>
        <w:rPr>
          <w:rFonts w:ascii="Times New Roman" w:hAnsi="宋体" w:eastAsia="宋体" w:cs="Times New Roman"/>
          <w:b/>
          <w:kern w:val="0"/>
          <w:sz w:val="24"/>
          <w:szCs w:val="24"/>
          <w:lang w:bidi="hi-IN"/>
        </w:rPr>
        <w:t>要求</w:t>
      </w:r>
    </w:p>
    <w:p>
      <w:pPr>
        <w:pStyle w:val="6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掌握制药用水的定义、应用范围及制备方式。</w:t>
      </w:r>
    </w:p>
    <w:p>
      <w:pPr>
        <w:pStyle w:val="6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掌握过滤机制、影响因素、过滤器的类型及过滤方式。</w:t>
      </w:r>
    </w:p>
    <w:p>
      <w:pPr>
        <w:pStyle w:val="6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掌握灭菌方法、灭菌参数及无菌操作的内容。</w:t>
      </w:r>
    </w:p>
    <w:p>
      <w:pPr>
        <w:pStyle w:val="6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了解洁净室空气标准、空气净化技术及洁净室的设计。</w:t>
      </w:r>
    </w:p>
    <w:p>
      <w:pPr>
        <w:widowControl/>
        <w:spacing w:line="360" w:lineRule="auto"/>
        <w:ind w:firstLine="118" w:firstLineChars="49"/>
        <w:jc w:val="left"/>
        <w:rPr>
          <w:rFonts w:ascii="Times New Roman" w:hAnsi="Times New Roman" w:eastAsia="宋体" w:cs="Times New Roman"/>
          <w:b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bidi="hi-IN"/>
        </w:rPr>
        <w:t>8</w:t>
      </w: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bidi="hi-IN"/>
        </w:rPr>
        <w:t>、液体制剂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bidi="hi-IN"/>
        </w:rPr>
        <w:t>考试内容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液体制剂的定义、特点、质量要求及分类；液体制剂常用的溶剂、附加剂及各种辅料的特点；低分子溶液剂的类型及定义；高分子溶液剂的定义及性质；溶胀过程中有限溶胀与无限溶胀的定义；溶胶剂的定义、构造、性质及制备方法；混悬剂的定义、适用范围、性质、影响稳定性因素、改善稳定性的方法、制备方式及质量评价方法；乳剂的定义、类型及影响乳剂类型的因素、形成乳剂的机制、稳定性、制备方法及其质量评定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考试要求</w:t>
      </w:r>
    </w:p>
    <w:p>
      <w:pPr>
        <w:widowControl/>
        <w:numPr>
          <w:ilvl w:val="0"/>
          <w:numId w:val="8"/>
        </w:numPr>
        <w:spacing w:line="360" w:lineRule="auto"/>
        <w:jc w:val="left"/>
        <w:rPr>
          <w:rFonts w:ascii="Times New Roman" w:hAnsi="宋体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Cs/>
          <w:kern w:val="0"/>
          <w:sz w:val="24"/>
          <w:szCs w:val="24"/>
          <w:lang w:bidi="hi-IN"/>
        </w:rPr>
        <w:t>掌握液体制剂的概念、特点及质量要求。</w:t>
      </w:r>
    </w:p>
    <w:p>
      <w:pPr>
        <w:widowControl/>
        <w:numPr>
          <w:ilvl w:val="0"/>
          <w:numId w:val="8"/>
        </w:numPr>
        <w:spacing w:line="360" w:lineRule="auto"/>
        <w:jc w:val="left"/>
        <w:rPr>
          <w:rFonts w:ascii="Times New Roman" w:hAnsi="宋体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Cs/>
          <w:kern w:val="0"/>
          <w:sz w:val="24"/>
          <w:szCs w:val="24"/>
          <w:lang w:bidi="hi-IN"/>
        </w:rPr>
        <w:t>全面掌握液体制剂常用辅料的目的及特性</w:t>
      </w:r>
    </w:p>
    <w:p>
      <w:pPr>
        <w:widowControl/>
        <w:numPr>
          <w:ilvl w:val="0"/>
          <w:numId w:val="8"/>
        </w:numPr>
        <w:spacing w:line="360" w:lineRule="auto"/>
        <w:jc w:val="left"/>
        <w:rPr>
          <w:rFonts w:ascii="Times New Roman" w:hAnsi="宋体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Cs/>
          <w:kern w:val="0"/>
          <w:sz w:val="24"/>
          <w:szCs w:val="24"/>
          <w:lang w:bidi="hi-IN"/>
        </w:rPr>
        <w:t>掌握低分子溶剂、高分子溶剂定义、性质及制备方法。</w:t>
      </w:r>
    </w:p>
    <w:p>
      <w:pPr>
        <w:widowControl/>
        <w:numPr>
          <w:ilvl w:val="0"/>
          <w:numId w:val="8"/>
        </w:numPr>
        <w:spacing w:line="360" w:lineRule="auto"/>
        <w:jc w:val="left"/>
        <w:rPr>
          <w:rFonts w:ascii="Times New Roman" w:hAnsi="宋体" w:eastAsia="宋体" w:cs="Times New Roman"/>
          <w:bCs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bCs/>
          <w:kern w:val="0"/>
          <w:sz w:val="24"/>
          <w:szCs w:val="24"/>
          <w:lang w:bidi="hi-IN"/>
        </w:rPr>
        <w:t>全面掌握混悬剂及乳剂的定义、适用范围、稳定性、制备方法及质量评价。</w:t>
      </w:r>
    </w:p>
    <w:p/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9、 注射剂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</w:t>
      </w:r>
      <w:r>
        <w:rPr>
          <w:rFonts w:hint="eastAsia" w:asciiTheme="minorEastAsia" w:hAnsiTheme="minorEastAsia"/>
          <w:sz w:val="24"/>
          <w:szCs w:val="24"/>
        </w:rPr>
        <w:t>：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注射剂的定义、分类、特点与质量要求;注射剂常用的溶剂及附加剂;注射剂的一般工艺流程及典型品种的制备工艺;大容量注射液的概念、种类、制备工艺和质量评价;射用无菌粉末制品的概念、制备方法；注射剂的容器及处理方法;灭菌与无菌制剂的相关技术理论;输液；注射剂的无菌保证工艺及无菌生产工艺验证的相关知识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考试要求：</w:t>
      </w:r>
    </w:p>
    <w:p>
      <w:pPr>
        <w:pStyle w:val="6"/>
        <w:numPr>
          <w:ilvl w:val="0"/>
          <w:numId w:val="9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掌握注射剂的定义、分类、特点与质量要求。</w:t>
      </w:r>
    </w:p>
    <w:p>
      <w:pPr>
        <w:pStyle w:val="6"/>
        <w:numPr>
          <w:ilvl w:val="0"/>
          <w:numId w:val="9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熟记注射剂常用的溶剂及附加剂。</w:t>
      </w:r>
    </w:p>
    <w:p>
      <w:pPr>
        <w:pStyle w:val="6"/>
        <w:numPr>
          <w:ilvl w:val="0"/>
          <w:numId w:val="9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了解注射剂的无菌保证工艺及无菌制剂的相关技术理论。</w:t>
      </w:r>
    </w:p>
    <w:p>
      <w:pPr>
        <w:pStyle w:val="6"/>
        <w:numPr>
          <w:ilvl w:val="0"/>
          <w:numId w:val="9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掌握注射剂的一般工艺流程及典型品种的制备工艺。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10、粉体学基础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粉体粒径的分类及不同粒径的表示方法；粉体密度的分类及测定方法；粉体流动性的表征方法；粉体粘附性、凝聚性及压缩成型性；粉体学性质对制剂处方设计的重要性；不同粉体粒径及形态的测定表征方法。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考试要求：</w:t>
      </w:r>
    </w:p>
    <w:p>
      <w:pPr>
        <w:pStyle w:val="6"/>
        <w:numPr>
          <w:ilvl w:val="0"/>
          <w:numId w:val="10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掌握粉体粒径的分类及不同粒径的表示方法；粉体密度的分类及测定方法；粉体流动性的表征方法。</w:t>
      </w:r>
    </w:p>
    <w:p>
      <w:pPr>
        <w:pStyle w:val="6"/>
        <w:numPr>
          <w:ilvl w:val="0"/>
          <w:numId w:val="10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熟悉粉体粘附性、凝聚性及压缩成型性；粉体学性质对制剂处方设计的重要性。</w:t>
      </w:r>
    </w:p>
    <w:p>
      <w:pPr>
        <w:pStyle w:val="6"/>
        <w:numPr>
          <w:ilvl w:val="0"/>
          <w:numId w:val="10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了解不同粉体粒径及形态的测定表征方法。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11、固体制剂单元操作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粉碎、混合、制粒与干燥的概念和目的；粉碎、混合、制粒与干燥的影响因素；粉碎、混合、制粒与干燥的常用设备。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考试要求：</w:t>
      </w:r>
    </w:p>
    <w:p>
      <w:pPr>
        <w:pStyle w:val="6"/>
        <w:numPr>
          <w:ilvl w:val="0"/>
          <w:numId w:val="11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掌握粉碎、混合、制粒与干燥的概念和目的。</w:t>
      </w:r>
    </w:p>
    <w:p>
      <w:pPr>
        <w:pStyle w:val="6"/>
        <w:numPr>
          <w:ilvl w:val="0"/>
          <w:numId w:val="11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熟悉粉碎、混合、制粒与干燥的影响因素。</w:t>
      </w:r>
    </w:p>
    <w:p>
      <w:pPr>
        <w:pStyle w:val="6"/>
        <w:numPr>
          <w:ilvl w:val="0"/>
          <w:numId w:val="11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了解粉碎、混合、制粒与干燥的常用设备。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12、固体制剂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散剂的制备及质量检查、颗粒剂的制备及质量检查；片剂的特点、分类、制备和评价方法和分析；胶囊剂、滴丸剂的制备及质量检查与包装储存；膜剂的概述、制备、质量检查和成膜材料。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考试要求：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（1）掌握固体制剂的概念、制备及质量检查、颗粒剂的制备及质量检查。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（2）了解散剂、片剂、胶囊剂、滴丸剂的制备及质量检查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（3）熟悉膜剂的概述、制备、质量检查和成膜材料。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13、皮肤递药制剂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经皮吸收的影响因素；皮肤递药制剂的处方组成、常用基质和添加剂；药物经皮吸收的途径；皮肤递药制剂的质量检查方法；经皮吸收的促进方法；制剂的制备方法。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考试要求：</w:t>
      </w:r>
    </w:p>
    <w:p>
      <w:pPr>
        <w:pStyle w:val="6"/>
        <w:numPr>
          <w:ilvl w:val="0"/>
          <w:numId w:val="12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掌握经皮吸收的影响因素；皮肤递药制剂的处方组成、常用基质和添加剂。</w:t>
      </w:r>
    </w:p>
    <w:p>
      <w:pPr>
        <w:pStyle w:val="6"/>
        <w:numPr>
          <w:ilvl w:val="0"/>
          <w:numId w:val="12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熟悉药物经皮吸收的途径；皮肤递药制剂的质量检查方法。</w:t>
      </w:r>
    </w:p>
    <w:p>
      <w:pPr>
        <w:pStyle w:val="6"/>
        <w:numPr>
          <w:ilvl w:val="0"/>
          <w:numId w:val="12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了解经皮吸收的促进方法；制剂的制备方法。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14、黏膜递药系统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气雾剂的定义、组成、制备及质量评价；喷雾剂和粉雾剂的定义、组成、制备及质量评价；栓剂的常用基质、栓剂的置换价、栓剂的制备及质量评价；滴眼剂、眼膏剂的制备及质量评价；药物的肺部吸收机制及特点；影响药物直肠吸收的因素；药物的眼部吸收途径及特点、影响因素；药物的鼻腔吸收特点和鼻黏膜递药系统的质量评价；药物的口腔吸收特点及途径；</w:t>
      </w:r>
      <w:r>
        <w:rPr>
          <w:rFonts w:asciiTheme="minorEastAsia" w:hAnsiTheme="minorEastAsia"/>
          <w:sz w:val="24"/>
          <w:szCs w:val="24"/>
        </w:rPr>
        <w:t>影响药物肺部沉积和肺部吸收的因素；喷雾剂和粉雾剂的给药装置；眼部的生理结构及提高药物眼黏膜吸收的策略；影响药物经鼻吸收的因素；影响药物口腔黏膜吸收的因素；阴道吸收途径及影响药物阴道黏膜吸收的因素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考试要求</w:t>
      </w:r>
      <w:r>
        <w:rPr>
          <w:rFonts w:hint="eastAsia" w:asciiTheme="minorEastAsia" w:hAnsiTheme="minorEastAsia"/>
          <w:b/>
          <w:sz w:val="24"/>
          <w:szCs w:val="24"/>
        </w:rPr>
        <w:t>：</w:t>
      </w:r>
    </w:p>
    <w:p>
      <w:pPr>
        <w:pStyle w:val="6"/>
        <w:numPr>
          <w:ilvl w:val="0"/>
          <w:numId w:val="13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掌握气雾剂的定义、组成、制备及质量评价；喷雾剂和粉雾剂的定义、组成、制备及质量评价；栓剂的常用基质、栓剂的置换价、栓剂的制备及质量评价。</w:t>
      </w:r>
    </w:p>
    <w:p>
      <w:pPr>
        <w:pStyle w:val="6"/>
        <w:numPr>
          <w:ilvl w:val="0"/>
          <w:numId w:val="13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滴眼剂、眼膏剂的制备及质量评价；药物的肺部吸收机制及特点；影响药物直肠吸收的因素；药物的眼部吸收途径及特点、影响因素；药物的鼻腔吸收特点和鼻黏膜递药系统的质量评价；药物的口腔吸收特点及途径。</w:t>
      </w:r>
    </w:p>
    <w:p>
      <w:pPr>
        <w:pStyle w:val="6"/>
        <w:numPr>
          <w:ilvl w:val="0"/>
          <w:numId w:val="13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</w:t>
      </w:r>
      <w:r>
        <w:rPr>
          <w:rFonts w:asciiTheme="minorEastAsia" w:hAnsiTheme="minorEastAsia"/>
          <w:sz w:val="24"/>
          <w:szCs w:val="24"/>
        </w:rPr>
        <w:t>影响药物肺部沉积和肺部吸收的因素；喷雾剂和粉雾剂的给药装置；眼部的生理结构及提高药物眼黏膜吸收的策略；影响药物经鼻吸收的因素；影响药物口腔黏膜吸收的因素；阴道吸收途径及影响药物阴道黏膜吸收的因素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15、缓控释制剂</w:t>
      </w:r>
    </w:p>
    <w:p>
      <w:pPr>
        <w:spacing w:line="360" w:lineRule="auto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  <w:r>
        <w:rPr>
          <w:rFonts w:asciiTheme="minorEastAsia" w:hAnsiTheme="minorEastAsia"/>
          <w:b/>
          <w:sz w:val="24"/>
          <w:szCs w:val="24"/>
        </w:rPr>
        <w:br w:type="textWrapping"/>
      </w:r>
      <w:r>
        <w:rPr>
          <w:rFonts w:asciiTheme="minorEastAsia" w:hAnsiTheme="minorEastAsia"/>
          <w:sz w:val="24"/>
          <w:szCs w:val="24"/>
        </w:rPr>
        <w:t> 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缓释和控释制剂的基本概念及控释原理;择时定位释药制剂的概念与释药原理;微囊与微球、纳米粒的基本概念与特点;脂质体的概念,结构特点、性质和常用材料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；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植入剂的概念、特点及作用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；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缓控释制剂和择时定位释药制剂的类型、制备工艺和体内外评价方法;微囊、微球、药物晶体纳米粒、载药纳米粒的制备与质量评价方法;脂质体的制备方法和质量评价方法;植入剂的制备方法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；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缓控释制剂的处方设计、体内外相关性;择时定位释药制剂的制备;影响微囊与微球、纳米粒粒径的因素及纳米粒的修饰;脂质体的功能特点与作用机制;植入剂的质量评价方法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考试要求：</w:t>
      </w:r>
    </w:p>
    <w:p>
      <w:pPr>
        <w:pStyle w:val="6"/>
        <w:numPr>
          <w:ilvl w:val="0"/>
          <w:numId w:val="14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掌握缓释和控释制剂的基本概念及控释原理;择时定位释药制剂的概念与释药原理;微囊与微球、纳米粒的基本概念与特点;脂质体的概念,结构特点、性质和常用材料植入剂的概念、特点及作用。</w:t>
      </w:r>
    </w:p>
    <w:p>
      <w:pPr>
        <w:pStyle w:val="6"/>
        <w:numPr>
          <w:ilvl w:val="0"/>
          <w:numId w:val="14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熟悉缓控释制剂和择时定位释药制剂的类型、制备工艺和体内外评价方法;微囊、微球、药物晶体纳米粒、载药纳米粒的制备与质量评价方法;脂质体的制备方法和质量评价方法;植入剂的制备方法。</w:t>
      </w:r>
    </w:p>
    <w:p>
      <w:pPr>
        <w:pStyle w:val="6"/>
        <w:numPr>
          <w:ilvl w:val="0"/>
          <w:numId w:val="14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了解缓控释制剂的处方设计、体内外相关性;择时定位释药制剂的制备;影响微囊与微球、纳米粒粒径的因素及纳米粒的修饰;脂质体的功能特点与作用机制;植入剂的质量评价方法。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16、靶向制剂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靶向制剂的基本概念,类型</w:t>
      </w:r>
      <w:r>
        <w:rPr>
          <w:rFonts w:hint="eastAsia" w:asciiTheme="minorEastAsia" w:hAnsiTheme="minorEastAsia"/>
          <w:sz w:val="24"/>
          <w:szCs w:val="24"/>
        </w:rPr>
        <w:t>；</w:t>
      </w:r>
      <w:r>
        <w:rPr>
          <w:rFonts w:asciiTheme="minorEastAsia" w:hAnsiTheme="minorEastAsia"/>
          <w:sz w:val="24"/>
          <w:szCs w:val="24"/>
        </w:rPr>
        <w:t>靶向制剂的质量要求,靶向性评价方法</w:t>
      </w:r>
      <w:r>
        <w:rPr>
          <w:rFonts w:hint="eastAsia" w:asciiTheme="minorEastAsia" w:hAnsiTheme="minorEastAsia"/>
          <w:sz w:val="24"/>
          <w:szCs w:val="24"/>
        </w:rPr>
        <w:t>；</w:t>
      </w:r>
      <w:r>
        <w:rPr>
          <w:rFonts w:asciiTheme="minorEastAsia" w:hAnsiTheme="minorEastAsia"/>
          <w:sz w:val="24"/>
          <w:szCs w:val="24"/>
        </w:rPr>
        <w:t>活体成像技术。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考试要求</w:t>
      </w:r>
      <w:r>
        <w:rPr>
          <w:rFonts w:hint="eastAsia" w:asciiTheme="minorEastAsia" w:hAnsiTheme="minorEastAsia"/>
          <w:sz w:val="24"/>
          <w:szCs w:val="24"/>
        </w:rPr>
        <w:t>：</w:t>
      </w:r>
    </w:p>
    <w:p>
      <w:pPr>
        <w:pStyle w:val="6"/>
        <w:numPr>
          <w:ilvl w:val="0"/>
          <w:numId w:val="15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掌握</w:t>
      </w:r>
      <w:r>
        <w:rPr>
          <w:rFonts w:asciiTheme="minorEastAsia" w:hAnsiTheme="minorEastAsia"/>
          <w:sz w:val="24"/>
          <w:szCs w:val="24"/>
        </w:rPr>
        <w:t>靶向制剂的基本概念,类型。</w:t>
      </w:r>
    </w:p>
    <w:p>
      <w:pPr>
        <w:pStyle w:val="6"/>
        <w:numPr>
          <w:ilvl w:val="0"/>
          <w:numId w:val="15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熟悉靶向制剂的质量要求,靶向性评价方法。</w:t>
      </w:r>
    </w:p>
    <w:p>
      <w:pPr>
        <w:pStyle w:val="6"/>
        <w:numPr>
          <w:ilvl w:val="0"/>
          <w:numId w:val="15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了解活体成像技术。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17、生物技术药物制剂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生物技米药物的概念和特点;蛋白多肽类药物液体和固体制剂的处方组成、制备方法</w:t>
      </w:r>
      <w:r>
        <w:rPr>
          <w:rFonts w:hint="eastAsia" w:asciiTheme="minorEastAsia" w:hAnsiTheme="minorEastAsia"/>
          <w:sz w:val="24"/>
          <w:szCs w:val="24"/>
        </w:rPr>
        <w:t>；</w:t>
      </w:r>
      <w:r>
        <w:rPr>
          <w:rFonts w:asciiTheme="minorEastAsia" w:hAnsiTheme="minorEastAsia"/>
          <w:sz w:val="24"/>
          <w:szCs w:val="24"/>
        </w:rPr>
        <w:t>蛋白多肽类药物的结构及其不稳定性的表现;生物技术药物制剂的质量评价</w:t>
      </w:r>
      <w:r>
        <w:rPr>
          <w:rFonts w:hint="eastAsia" w:asciiTheme="minorEastAsia" w:hAnsiTheme="minorEastAsia"/>
          <w:sz w:val="24"/>
          <w:szCs w:val="24"/>
        </w:rPr>
        <w:t>；</w:t>
      </w:r>
      <w:r>
        <w:rPr>
          <w:rFonts w:asciiTheme="minorEastAsia" w:hAnsiTheme="minorEastAsia"/>
          <w:sz w:val="24"/>
          <w:szCs w:val="24"/>
        </w:rPr>
        <w:t>蛋白多肽类药物的新型给药系统;寡核苷酸及基因类药物的输送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考试要求</w:t>
      </w:r>
      <w:r>
        <w:rPr>
          <w:rFonts w:hint="eastAsia" w:asciiTheme="minorEastAsia" w:hAnsiTheme="minorEastAsia"/>
          <w:b/>
          <w:sz w:val="24"/>
          <w:szCs w:val="24"/>
        </w:rPr>
        <w:t>：</w:t>
      </w:r>
    </w:p>
    <w:p>
      <w:pPr>
        <w:pStyle w:val="6"/>
        <w:numPr>
          <w:ilvl w:val="0"/>
          <w:numId w:val="16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掌握生物技米药物的概念和特点;蛋白多肽类药物液体和固体制剂的处方组成、制备方法</w:t>
      </w:r>
    </w:p>
    <w:p>
      <w:pPr>
        <w:pStyle w:val="6"/>
        <w:numPr>
          <w:ilvl w:val="0"/>
          <w:numId w:val="16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熟悉蛋白多肽类药物的结构及其不稳定性的表现;生物技术药物制剂的质量评价。</w:t>
      </w:r>
    </w:p>
    <w:p>
      <w:pPr>
        <w:pStyle w:val="6"/>
        <w:numPr>
          <w:ilvl w:val="0"/>
          <w:numId w:val="16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了解蛋白多肽类药物的新型给药系统;寡核苷酸及基因类药物的输送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18、现代中药制剂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浸出方法和浸出机制;常用浸出制剂的类型和概念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；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浸出工艺和设备,浸出的影响因素;中药制剂的质量要求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；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浸出液的蒸发和干燥;超临界萃取的基本原理;中药制剂的制备方法、设备和质量要求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考试要求：</w:t>
      </w:r>
    </w:p>
    <w:p>
      <w:pPr>
        <w:pStyle w:val="6"/>
        <w:numPr>
          <w:ilvl w:val="0"/>
          <w:numId w:val="17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掌握浸出方法和浸出机制;常用浸出制剂的类型和概念。</w:t>
      </w:r>
    </w:p>
    <w:p>
      <w:pPr>
        <w:pStyle w:val="6"/>
        <w:numPr>
          <w:ilvl w:val="0"/>
          <w:numId w:val="17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熟悉浸出工艺和设备,浸出的影响因素;中药制剂的质量要求。</w:t>
      </w:r>
    </w:p>
    <w:p>
      <w:pPr>
        <w:pStyle w:val="6"/>
        <w:numPr>
          <w:ilvl w:val="0"/>
          <w:numId w:val="17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了解浸出液的蒸发和干燥;超临界萃取的基本原理;中药制剂的制备方法、设备和质量要求。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19、药物制剂的稳定性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药物的化学降解途径;影响药物化学稳定性的因素和解决方法</w:t>
      </w:r>
      <w:r>
        <w:rPr>
          <w:rFonts w:hint="eastAsia" w:asciiTheme="minorEastAsia" w:hAnsiTheme="minorEastAsia"/>
          <w:sz w:val="24"/>
          <w:szCs w:val="24"/>
        </w:rPr>
        <w:t>；</w:t>
      </w:r>
      <w:r>
        <w:rPr>
          <w:rFonts w:asciiTheme="minorEastAsia" w:hAnsiTheme="minorEastAsia"/>
          <w:sz w:val="24"/>
          <w:szCs w:val="24"/>
        </w:rPr>
        <w:t>药物制剂稳定性的研究内容(影响因素试验、加速试验、长期试验)和要求;化学动力学基础</w:t>
      </w:r>
      <w:r>
        <w:rPr>
          <w:rFonts w:hint="eastAsia" w:asciiTheme="minorEastAsia" w:hAnsiTheme="minorEastAsia"/>
          <w:sz w:val="24"/>
          <w:szCs w:val="24"/>
        </w:rPr>
        <w:t>；</w:t>
      </w:r>
      <w:r>
        <w:rPr>
          <w:rFonts w:asciiTheme="minorEastAsia" w:hAnsiTheme="minorEastAsia"/>
          <w:sz w:val="24"/>
          <w:szCs w:val="24"/>
        </w:rPr>
        <w:t>药物制剂稳定性的试验方法、反应级数的测定方法。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考试要求</w:t>
      </w:r>
      <w:r>
        <w:rPr>
          <w:rFonts w:hint="eastAsia" w:asciiTheme="minorEastAsia" w:hAnsiTheme="minorEastAsia"/>
          <w:b/>
          <w:sz w:val="24"/>
          <w:szCs w:val="24"/>
        </w:rPr>
        <w:t>：</w:t>
      </w:r>
    </w:p>
    <w:p>
      <w:pPr>
        <w:pStyle w:val="6"/>
        <w:numPr>
          <w:ilvl w:val="0"/>
          <w:numId w:val="18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掌握药物的化学降解途径;影响药物化学稳定性的因素和解决方法。</w:t>
      </w:r>
    </w:p>
    <w:p>
      <w:pPr>
        <w:pStyle w:val="6"/>
        <w:numPr>
          <w:ilvl w:val="0"/>
          <w:numId w:val="18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熟悉药物制剂稳定性的研究内容(影响因素试验、加速试验、长期试验)和要求;化学动力学基础</w:t>
      </w:r>
    </w:p>
    <w:p>
      <w:pPr>
        <w:pStyle w:val="6"/>
        <w:numPr>
          <w:ilvl w:val="0"/>
          <w:numId w:val="18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了解药物制剂稳定性的试验方法、反应级数的测定方法。</w:t>
      </w:r>
    </w:p>
    <w:p>
      <w:pPr>
        <w:widowControl/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</w:p>
    <w:p>
      <w:pPr>
        <w:widowControl/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20、药品包装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</w:p>
    <w:p>
      <w:pPr>
        <w:widowControl/>
        <w:spacing w:line="360" w:lineRule="auto"/>
        <w:ind w:firstLine="480" w:firstLineChars="200"/>
        <w:jc w:val="left"/>
        <w:rPr>
          <w:rFonts w:ascii="Times New Roman" w:hAnsi="宋体" w:eastAsia="宋体" w:cs="Times New Roman"/>
          <w:kern w:val="0"/>
          <w:sz w:val="24"/>
          <w:szCs w:val="24"/>
          <w:lang w:bidi="hi-IN"/>
        </w:rPr>
      </w:pP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掌握药包材的概念、分类;常用的药包材类别;制剂包装的选择原则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；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玻璃和塑料包装材料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；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药品包装材料的设计;药品包装材料的相关法规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。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b/>
          <w:sz w:val="24"/>
          <w:szCs w:val="24"/>
        </w:rPr>
        <w:t>考试要求</w:t>
      </w:r>
      <w:r>
        <w:rPr>
          <w:rFonts w:hint="eastAsia" w:asciiTheme="minorEastAsia" w:hAnsiTheme="minorEastAsia"/>
          <w:b/>
          <w:sz w:val="24"/>
          <w:szCs w:val="24"/>
        </w:rPr>
        <w:t>：</w:t>
      </w:r>
    </w:p>
    <w:p>
      <w:pPr>
        <w:pStyle w:val="6"/>
        <w:numPr>
          <w:ilvl w:val="0"/>
          <w:numId w:val="19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掌握药包材的概念、分类;常用的药包材类别;制剂包装的选择原则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pStyle w:val="6"/>
        <w:numPr>
          <w:ilvl w:val="0"/>
          <w:numId w:val="19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熟悉玻璃和塑料包装材料。</w:t>
      </w:r>
    </w:p>
    <w:p>
      <w:pPr>
        <w:pStyle w:val="6"/>
        <w:numPr>
          <w:ilvl w:val="0"/>
          <w:numId w:val="19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了解药品包装材料的设计;药品包装材料的相关法规。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21、药物制剂设计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考试内容：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药物制剂的处方前研究内容,药物和辅料的配伍及其相容性,药物制剂设计的主要内容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；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药物制剂的设计基础</w:t>
      </w:r>
      <w:r>
        <w:rPr>
          <w:rFonts w:hint="eastAsia" w:ascii="Times New Roman" w:hAnsi="宋体" w:eastAsia="宋体" w:cs="Times New Roman"/>
          <w:kern w:val="0"/>
          <w:sz w:val="24"/>
          <w:szCs w:val="24"/>
          <w:lang w:bidi="hi-IN"/>
        </w:rPr>
        <w:t>；</w:t>
      </w:r>
      <w:r>
        <w:rPr>
          <w:rFonts w:ascii="Times New Roman" w:hAnsi="宋体" w:eastAsia="宋体" w:cs="Times New Roman"/>
          <w:kern w:val="0"/>
          <w:sz w:val="24"/>
          <w:szCs w:val="24"/>
          <w:lang w:bidi="hi-IN"/>
        </w:rPr>
        <w:t>QbD在制剂设计中的应用。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考试要求：</w:t>
      </w:r>
    </w:p>
    <w:p>
      <w:pPr>
        <w:pStyle w:val="6"/>
        <w:numPr>
          <w:ilvl w:val="0"/>
          <w:numId w:val="20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掌握药物制剂的处方前研究内容,药物和辅料的配伍及其相容性,药物制剂设计的主要内容。</w:t>
      </w:r>
    </w:p>
    <w:p>
      <w:pPr>
        <w:pStyle w:val="6"/>
        <w:numPr>
          <w:ilvl w:val="0"/>
          <w:numId w:val="20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熟悉药物制剂的设计基础。</w:t>
      </w:r>
    </w:p>
    <w:p>
      <w:pPr>
        <w:pStyle w:val="6"/>
        <w:numPr>
          <w:ilvl w:val="0"/>
          <w:numId w:val="20"/>
        </w:numPr>
        <w:spacing w:line="360" w:lineRule="auto"/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了解QbD在制剂设计中的应用。</w:t>
      </w:r>
    </w:p>
    <w:p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三、参考书目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方亮主编.药剂学（第8版）.北京：人民卫生出版社，2016年。</w:t>
      </w:r>
    </w:p>
    <w:p>
      <w:pPr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7FBB"/>
    <w:multiLevelType w:val="multilevel"/>
    <w:tmpl w:val="02297FBB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  <w:lang w:val="en-US"/>
      </w:rPr>
    </w:lvl>
    <w:lvl w:ilvl="1" w:tentative="0">
      <w:start w:val="16"/>
      <w:numFmt w:val="decimal"/>
      <w:lvlText w:val="%2、"/>
      <w:lvlJc w:val="left"/>
      <w:pPr>
        <w:ind w:left="850" w:hanging="43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BC2A35"/>
    <w:multiLevelType w:val="multilevel"/>
    <w:tmpl w:val="05BC2A35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4E29DB"/>
    <w:multiLevelType w:val="multilevel"/>
    <w:tmpl w:val="104E29DB"/>
    <w:lvl w:ilvl="0" w:tentative="0">
      <w:start w:val="1"/>
      <w:numFmt w:val="decimal"/>
      <w:lvlText w:val="（%1）"/>
      <w:lvlJc w:val="center"/>
      <w:pPr>
        <w:ind w:left="660" w:hanging="420"/>
      </w:pPr>
      <w:rPr>
        <w:rFonts w:hint="eastAsia"/>
        <w:spacing w:val="0"/>
        <w:position w:val="0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3">
    <w:nsid w:val="11883009"/>
    <w:multiLevelType w:val="multilevel"/>
    <w:tmpl w:val="11883009"/>
    <w:lvl w:ilvl="0" w:tentative="0">
      <w:start w:val="1"/>
      <w:numFmt w:val="decimal"/>
      <w:lvlText w:val="（%1）"/>
      <w:lvlJc w:val="center"/>
      <w:pPr>
        <w:ind w:left="660" w:hanging="420"/>
      </w:pPr>
      <w:rPr>
        <w:rFonts w:hint="eastAsia"/>
        <w:spacing w:val="0"/>
        <w:position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72E0148"/>
    <w:multiLevelType w:val="multilevel"/>
    <w:tmpl w:val="172E0148"/>
    <w:lvl w:ilvl="0" w:tentative="0">
      <w:start w:val="1"/>
      <w:numFmt w:val="decimal"/>
      <w:lvlText w:val="（%1）"/>
      <w:lvlJc w:val="center"/>
      <w:pPr>
        <w:ind w:left="660" w:hanging="420"/>
      </w:pPr>
      <w:rPr>
        <w:rFonts w:hint="eastAsia"/>
        <w:spacing w:val="0"/>
        <w:position w:val="0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5">
    <w:nsid w:val="19DB0B44"/>
    <w:multiLevelType w:val="multilevel"/>
    <w:tmpl w:val="19DB0B44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0D2A0E"/>
    <w:multiLevelType w:val="multilevel"/>
    <w:tmpl w:val="210D2A0E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32F70A9"/>
    <w:multiLevelType w:val="multilevel"/>
    <w:tmpl w:val="232F70A9"/>
    <w:lvl w:ilvl="0" w:tentative="0">
      <w:start w:val="1"/>
      <w:numFmt w:val="decimal"/>
      <w:lvlText w:val="（%1）"/>
      <w:lvlJc w:val="center"/>
      <w:pPr>
        <w:ind w:left="660" w:hanging="420"/>
      </w:pPr>
      <w:rPr>
        <w:rFonts w:hint="eastAsia"/>
        <w:spacing w:val="0"/>
        <w:position w:val="0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8">
    <w:nsid w:val="31066756"/>
    <w:multiLevelType w:val="multilevel"/>
    <w:tmpl w:val="31066756"/>
    <w:lvl w:ilvl="0" w:tentative="0">
      <w:start w:val="1"/>
      <w:numFmt w:val="decimal"/>
      <w:lvlText w:val="（%1）"/>
      <w:lvlJc w:val="center"/>
      <w:pPr>
        <w:ind w:left="660" w:hanging="420"/>
      </w:pPr>
      <w:rPr>
        <w:rFonts w:hint="eastAsia"/>
        <w:spacing w:val="0"/>
        <w:position w:val="0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9">
    <w:nsid w:val="38293D10"/>
    <w:multiLevelType w:val="multilevel"/>
    <w:tmpl w:val="38293D10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8D92B78"/>
    <w:multiLevelType w:val="multilevel"/>
    <w:tmpl w:val="38D92B78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F02253"/>
    <w:multiLevelType w:val="multilevel"/>
    <w:tmpl w:val="46F02253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BF001AB"/>
    <w:multiLevelType w:val="multilevel"/>
    <w:tmpl w:val="4BF001AB"/>
    <w:lvl w:ilvl="0" w:tentative="0">
      <w:start w:val="1"/>
      <w:numFmt w:val="decimal"/>
      <w:lvlText w:val="（%1）"/>
      <w:lvlJc w:val="center"/>
      <w:pPr>
        <w:ind w:left="900" w:hanging="420"/>
      </w:pPr>
      <w:rPr>
        <w:rFonts w:hint="eastAsia"/>
        <w:spacing w:val="0"/>
        <w:position w:val="0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592778F2"/>
    <w:multiLevelType w:val="multilevel"/>
    <w:tmpl w:val="592778F2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C574865"/>
    <w:multiLevelType w:val="multilevel"/>
    <w:tmpl w:val="5C574865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E872A16"/>
    <w:multiLevelType w:val="multilevel"/>
    <w:tmpl w:val="5E872A16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D53472E"/>
    <w:multiLevelType w:val="multilevel"/>
    <w:tmpl w:val="6D53472E"/>
    <w:lvl w:ilvl="0" w:tentative="0">
      <w:start w:val="1"/>
      <w:numFmt w:val="decimal"/>
      <w:lvlText w:val="（%1）"/>
      <w:lvlJc w:val="center"/>
      <w:pPr>
        <w:ind w:left="660" w:hanging="420"/>
      </w:pPr>
      <w:rPr>
        <w:rFonts w:hint="eastAsia"/>
        <w:spacing w:val="0"/>
        <w:position w:val="0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17">
    <w:nsid w:val="7031587A"/>
    <w:multiLevelType w:val="multilevel"/>
    <w:tmpl w:val="7031587A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2A27C28"/>
    <w:multiLevelType w:val="multilevel"/>
    <w:tmpl w:val="72A27C28"/>
    <w:lvl w:ilvl="0" w:tentative="0">
      <w:start w:val="1"/>
      <w:numFmt w:val="decimal"/>
      <w:lvlText w:val="（%1）"/>
      <w:lvlJc w:val="center"/>
      <w:pPr>
        <w:ind w:left="660" w:hanging="420"/>
      </w:pPr>
      <w:rPr>
        <w:rFonts w:hint="eastAsia"/>
        <w:spacing w:val="0"/>
        <w:position w:val="0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abstractNum w:abstractNumId="19">
    <w:nsid w:val="78594965"/>
    <w:multiLevelType w:val="multilevel"/>
    <w:tmpl w:val="78594965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8"/>
  </w:num>
  <w:num w:numId="5">
    <w:abstractNumId w:val="16"/>
  </w:num>
  <w:num w:numId="6">
    <w:abstractNumId w:val="8"/>
  </w:num>
  <w:num w:numId="7">
    <w:abstractNumId w:val="4"/>
  </w:num>
  <w:num w:numId="8">
    <w:abstractNumId w:val="12"/>
  </w:num>
  <w:num w:numId="9">
    <w:abstractNumId w:val="9"/>
  </w:num>
  <w:num w:numId="10">
    <w:abstractNumId w:val="15"/>
  </w:num>
  <w:num w:numId="11">
    <w:abstractNumId w:val="5"/>
  </w:num>
  <w:num w:numId="12">
    <w:abstractNumId w:val="19"/>
  </w:num>
  <w:num w:numId="13">
    <w:abstractNumId w:val="10"/>
  </w:num>
  <w:num w:numId="14">
    <w:abstractNumId w:val="0"/>
  </w:num>
  <w:num w:numId="15">
    <w:abstractNumId w:val="11"/>
  </w:num>
  <w:num w:numId="16">
    <w:abstractNumId w:val="14"/>
  </w:num>
  <w:num w:numId="17">
    <w:abstractNumId w:val="17"/>
  </w:num>
  <w:num w:numId="18">
    <w:abstractNumId w:val="1"/>
  </w:num>
  <w:num w:numId="19">
    <w:abstractNumId w:val="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2571"/>
    <w:rsid w:val="00293902"/>
    <w:rsid w:val="002C68D8"/>
    <w:rsid w:val="004B4C5E"/>
    <w:rsid w:val="00512E8C"/>
    <w:rsid w:val="005626E6"/>
    <w:rsid w:val="006035E8"/>
    <w:rsid w:val="00611845"/>
    <w:rsid w:val="006937C1"/>
    <w:rsid w:val="00754A72"/>
    <w:rsid w:val="00795265"/>
    <w:rsid w:val="00810370"/>
    <w:rsid w:val="00832ECE"/>
    <w:rsid w:val="008D2571"/>
    <w:rsid w:val="008E6DD6"/>
    <w:rsid w:val="009074F7"/>
    <w:rsid w:val="009F0288"/>
    <w:rsid w:val="00BD1C8E"/>
    <w:rsid w:val="00BE6977"/>
    <w:rsid w:val="00C12AC5"/>
    <w:rsid w:val="00C3586E"/>
    <w:rsid w:val="00C64D24"/>
    <w:rsid w:val="00CD12AF"/>
    <w:rsid w:val="00D54962"/>
    <w:rsid w:val="00DD228B"/>
    <w:rsid w:val="00E336CB"/>
    <w:rsid w:val="00EF527E"/>
    <w:rsid w:val="00F14B8D"/>
    <w:rsid w:val="00F34766"/>
    <w:rsid w:val="00FB74B8"/>
    <w:rsid w:val="00FC1B11"/>
    <w:rsid w:val="416D3FD5"/>
    <w:rsid w:val="6D7A6E2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9</Pages>
  <Words>740</Words>
  <Characters>4223</Characters>
  <Lines>35</Lines>
  <Paragraphs>9</Paragraphs>
  <TotalTime>7</TotalTime>
  <ScaleCrop>false</ScaleCrop>
  <LinksUpToDate>false</LinksUpToDate>
  <CharactersWithSpaces>4954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2018-07-07T13:04:00Z</dcterms:created>
  <dc:creator>Windows 用户</dc:creator>
  <cp:lastModifiedBy>一米阳光</cp:lastModifiedBy>
  <dcterms:modified xsi:type="dcterms:W3CDTF">2018-09-17T12:53:12Z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