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kern w:val="0"/>
          <w:sz w:val="32"/>
          <w:szCs w:val="32"/>
          <w:lang w:val="en-US" w:eastAsia="zh-CN" w:bidi="hi-IN"/>
        </w:rPr>
        <w:t>湖南师范大学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/>
          <w:sz w:val="24"/>
        </w:rPr>
        <w:t>考试科目代码：</w:t>
      </w:r>
      <w:r>
        <w:rPr>
          <w:rFonts w:ascii="方正书宋简体" w:eastAsia="方正书宋简体"/>
          <w:sz w:val="24"/>
        </w:rPr>
        <w:t>[</w:t>
      </w:r>
      <w:r>
        <w:rPr>
          <w:rFonts w:hint="eastAsia" w:eastAsia="方正书宋简体"/>
          <w:sz w:val="24"/>
          <w:lang w:val="en-US" w:eastAsia="zh-CN"/>
        </w:rPr>
        <w:t>977</w:t>
      </w:r>
      <w:r>
        <w:rPr>
          <w:rFonts w:eastAsia="方正书宋简体"/>
          <w:sz w:val="24"/>
        </w:rPr>
        <w:t>]               考试科目名称：</w:t>
      </w:r>
      <w:r>
        <w:rPr>
          <w:rFonts w:hint="eastAsia" w:hAnsi="宋体"/>
          <w:kern w:val="0"/>
          <w:sz w:val="24"/>
          <w:lang w:bidi="hi-IN"/>
        </w:rPr>
        <w:t>机械原理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Lines="50" w:afterLines="50" w:line="360" w:lineRule="auto"/>
        <w:rPr>
          <w:rFonts w:eastAsia="方正书宋简体"/>
          <w:sz w:val="28"/>
          <w:szCs w:val="28"/>
        </w:rPr>
      </w:pPr>
      <w:r>
        <w:rPr>
          <w:rFonts w:eastAsia="方正书宋简体"/>
          <w:sz w:val="28"/>
          <w:szCs w:val="28"/>
        </w:rPr>
        <w:t>一、试卷结构</w:t>
      </w:r>
    </w:p>
    <w:p>
      <w:pPr>
        <w:spacing w:beforeLines="50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eastAsia="方正书宋简体"/>
          <w:sz w:val="24"/>
        </w:rPr>
        <w:t>1) 试卷成绩及考试时间</w:t>
      </w:r>
    </w:p>
    <w:p>
      <w:pPr>
        <w:spacing w:beforeLines="50" w:afterLines="50" w:line="312" w:lineRule="auto"/>
        <w:ind w:left="360" w:firstLine="480" w:firstLineChars="200"/>
        <w:rPr>
          <w:rFonts w:eastAsia="方正书宋简体"/>
          <w:sz w:val="24"/>
        </w:rPr>
      </w:pPr>
      <w:r>
        <w:rPr>
          <w:rFonts w:hAnsi="宋体"/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rFonts w:hAnsi="宋体"/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rFonts w:hAnsi="宋体"/>
          <w:kern w:val="0"/>
          <w:sz w:val="24"/>
          <w:lang w:bidi="hi-IN"/>
        </w:rPr>
        <w:t>分钟。</w:t>
      </w:r>
    </w:p>
    <w:p>
      <w:pPr>
        <w:spacing w:beforeLines="50" w:afterLines="50" w:line="312" w:lineRule="auto"/>
        <w:ind w:firstLine="480" w:firstLineChars="200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2</w:t>
      </w:r>
      <w:r>
        <w:rPr>
          <w:rFonts w:eastAsia="方正书宋简体"/>
          <w:sz w:val="24"/>
        </w:rPr>
        <w:t>)答题方式</w:t>
      </w:r>
    </w:p>
    <w:p>
      <w:pPr>
        <w:spacing w:beforeLines="50" w:afterLines="50" w:line="312" w:lineRule="auto"/>
        <w:ind w:left="360" w:firstLine="480" w:firstLineChars="200"/>
        <w:rPr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答题方式为闭卷、笔试。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3)试卷内容结构</w:t>
      </w:r>
    </w:p>
    <w:p>
      <w:pPr>
        <w:spacing w:beforeLines="50" w:afterLines="50" w:line="360" w:lineRule="auto"/>
        <w:ind w:left="360" w:firstLine="480" w:firstLineChars="200"/>
        <w:rPr>
          <w:rFonts w:eastAsia="方正书宋简体"/>
          <w:sz w:val="24"/>
        </w:rPr>
      </w:pPr>
      <w:r>
        <w:rPr>
          <w:rFonts w:hint="eastAsia" w:hAnsi="宋体"/>
          <w:kern w:val="0"/>
          <w:sz w:val="24"/>
          <w:lang w:bidi="hi-IN"/>
        </w:rPr>
        <w:t>机械原理</w:t>
      </w:r>
      <w:r>
        <w:rPr>
          <w:rFonts w:hint="eastAsia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100</w:t>
      </w:r>
      <w:r>
        <w:rPr>
          <w:kern w:val="0"/>
          <w:sz w:val="24"/>
          <w:lang w:bidi="hi-IN"/>
        </w:rPr>
        <w:t>%</w:t>
      </w:r>
    </w:p>
    <w:p>
      <w:pPr>
        <w:spacing w:beforeLines="50" w:afterLines="50" w:line="360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4)题型结构</w:t>
      </w:r>
    </w:p>
    <w:p>
      <w:pPr>
        <w:spacing w:beforeLines="50" w:afterLines="50"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A、</w:t>
      </w:r>
      <w:r>
        <w:rPr>
          <w:rFonts w:hint="eastAsia" w:hAnsi="宋体"/>
          <w:kern w:val="0"/>
          <w:sz w:val="24"/>
          <w:lang w:bidi="hi-IN"/>
        </w:rPr>
        <w:t>填空题、选择题</w:t>
      </w:r>
      <w:r>
        <w:rPr>
          <w:rFonts w:hAnsi="宋体"/>
          <w:kern w:val="0"/>
          <w:sz w:val="24"/>
          <w:lang w:bidi="hi-IN"/>
        </w:rPr>
        <w:t>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20～30</w:t>
      </w:r>
      <w:r>
        <w:rPr>
          <w:rFonts w:hAnsi="宋体"/>
          <w:kern w:val="0"/>
          <w:sz w:val="24"/>
          <w:lang w:bidi="hi-IN"/>
        </w:rPr>
        <w:t>小题，每小题</w:t>
      </w:r>
      <w:r>
        <w:rPr>
          <w:rFonts w:hint="eastAsia" w:hAnsi="宋体"/>
          <w:kern w:val="0"/>
          <w:sz w:val="24"/>
          <w:lang w:bidi="hi-IN"/>
        </w:rPr>
        <w:t>3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rFonts w:hint="eastAsia"/>
          <w:kern w:val="0"/>
          <w:sz w:val="24"/>
          <w:lang w:bidi="hi-IN"/>
        </w:rPr>
        <w:t>60～90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Lines="50" w:afterLines="50" w:line="360" w:lineRule="auto"/>
        <w:ind w:firstLine="480" w:firstLineChars="20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B、</w:t>
      </w:r>
      <w:r>
        <w:rPr>
          <w:rFonts w:hAnsi="宋体"/>
          <w:kern w:val="0"/>
          <w:sz w:val="24"/>
          <w:lang w:bidi="hi-IN"/>
        </w:rPr>
        <w:t>简答题</w:t>
      </w:r>
      <w:r>
        <w:rPr>
          <w:rFonts w:hint="eastAsia" w:hAnsi="宋体"/>
          <w:kern w:val="0"/>
          <w:sz w:val="24"/>
          <w:lang w:bidi="hi-IN"/>
        </w:rPr>
        <w:t>、</w:t>
      </w:r>
      <w:r>
        <w:rPr>
          <w:rFonts w:hint="eastAsia" w:hAnsi="宋体"/>
          <w:color w:val="auto"/>
          <w:kern w:val="0"/>
          <w:sz w:val="24"/>
          <w:highlight w:val="none"/>
          <w:shd w:val="clear" w:color="auto" w:fill="auto"/>
          <w:lang w:bidi="hi-IN"/>
        </w:rPr>
        <w:t>作图题</w:t>
      </w:r>
      <w:r>
        <w:rPr>
          <w:rFonts w:hAnsi="宋体"/>
          <w:kern w:val="0"/>
          <w:sz w:val="24"/>
          <w:lang w:bidi="hi-IN"/>
        </w:rPr>
        <w:t>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/>
          <w:kern w:val="0"/>
          <w:sz w:val="24"/>
          <w:lang w:bidi="hi-IN"/>
        </w:rPr>
        <w:t>2～4</w:t>
      </w:r>
      <w:r>
        <w:rPr>
          <w:rFonts w:hAnsi="宋体"/>
          <w:kern w:val="0"/>
          <w:sz w:val="24"/>
          <w:lang w:bidi="hi-IN"/>
        </w:rPr>
        <w:t>题，每题</w:t>
      </w:r>
      <w:r>
        <w:rPr>
          <w:rFonts w:hint="eastAsia" w:hAnsi="宋体"/>
          <w:kern w:val="0"/>
          <w:sz w:val="24"/>
          <w:lang w:bidi="hi-IN"/>
        </w:rPr>
        <w:t>10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rFonts w:hint="eastAsia" w:hAnsi="宋体"/>
          <w:kern w:val="0"/>
          <w:sz w:val="24"/>
          <w:lang w:bidi="hi-IN"/>
        </w:rPr>
        <w:t>2</w:t>
      </w:r>
      <w:r>
        <w:rPr>
          <w:kern w:val="0"/>
          <w:sz w:val="24"/>
          <w:lang w:bidi="hi-IN"/>
        </w:rPr>
        <w:t>0</w:t>
      </w:r>
      <w:r>
        <w:rPr>
          <w:rFonts w:hint="eastAsia"/>
          <w:kern w:val="0"/>
          <w:sz w:val="24"/>
          <w:lang w:bidi="hi-IN"/>
        </w:rPr>
        <w:t>～40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Lines="50" w:afterLines="50" w:line="360" w:lineRule="auto"/>
        <w:ind w:firstLine="480" w:firstLineChars="200"/>
        <w:rPr>
          <w:rFonts w:hAnsi="宋体"/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C、</w:t>
      </w:r>
      <w:r>
        <w:rPr>
          <w:rFonts w:hint="eastAsia" w:hAnsi="宋体"/>
          <w:kern w:val="0"/>
          <w:sz w:val="24"/>
          <w:lang w:bidi="hi-IN"/>
        </w:rPr>
        <w:t>计算题、分析题：</w:t>
      </w:r>
      <w:r>
        <w:rPr>
          <w:rFonts w:hint="eastAsia" w:hAnsi="宋体"/>
          <w:kern w:val="0"/>
          <w:sz w:val="24"/>
          <w:lang w:bidi="hi-IN"/>
        </w:rPr>
        <w:tab/>
      </w:r>
      <w:r>
        <w:rPr>
          <w:rFonts w:hint="eastAsia" w:hAnsi="宋体"/>
          <w:kern w:val="0"/>
          <w:sz w:val="24"/>
          <w:lang w:bidi="hi-IN"/>
        </w:rPr>
        <w:t xml:space="preserve">       </w:t>
      </w:r>
      <w:r>
        <w:rPr>
          <w:rFonts w:hint="eastAsia"/>
          <w:kern w:val="0"/>
          <w:sz w:val="24"/>
          <w:lang w:bidi="hi-IN"/>
        </w:rPr>
        <w:t>3～4</w:t>
      </w:r>
      <w:r>
        <w:rPr>
          <w:rFonts w:hAnsi="宋体"/>
          <w:kern w:val="0"/>
          <w:sz w:val="24"/>
          <w:lang w:bidi="hi-IN"/>
        </w:rPr>
        <w:t>题，每题</w:t>
      </w:r>
      <w:r>
        <w:rPr>
          <w:rFonts w:hint="eastAsia"/>
          <w:kern w:val="0"/>
          <w:sz w:val="24"/>
          <w:lang w:bidi="hi-IN"/>
        </w:rPr>
        <w:t>20</w:t>
      </w:r>
      <w:r>
        <w:rPr>
          <w:rFonts w:hAnsi="宋体"/>
          <w:kern w:val="0"/>
          <w:sz w:val="24"/>
          <w:lang w:bidi="hi-IN"/>
        </w:rPr>
        <w:t>分，共</w:t>
      </w:r>
      <w:r>
        <w:rPr>
          <w:rFonts w:hint="eastAsia"/>
          <w:kern w:val="0"/>
          <w:sz w:val="24"/>
          <w:lang w:bidi="hi-IN"/>
        </w:rPr>
        <w:t>60～80</w:t>
      </w:r>
      <w:r>
        <w:rPr>
          <w:rFonts w:hAnsi="宋体"/>
          <w:kern w:val="0"/>
          <w:sz w:val="24"/>
          <w:lang w:bidi="hi-IN"/>
        </w:rPr>
        <w:t>分</w:t>
      </w:r>
    </w:p>
    <w:p>
      <w:pPr>
        <w:spacing w:beforeLines="50" w:afterLines="50" w:line="360" w:lineRule="auto"/>
        <w:rPr>
          <w:rFonts w:eastAsia="方正书宋简体"/>
          <w:sz w:val="28"/>
          <w:szCs w:val="28"/>
        </w:rPr>
      </w:pPr>
    </w:p>
    <w:p>
      <w:pPr>
        <w:spacing w:beforeLines="50" w:afterLines="50" w:line="360" w:lineRule="auto"/>
        <w:rPr>
          <w:rFonts w:eastAsia="方正书宋简体"/>
          <w:sz w:val="28"/>
          <w:szCs w:val="28"/>
        </w:rPr>
      </w:pPr>
      <w:r>
        <w:rPr>
          <w:rFonts w:eastAsia="方正书宋简体"/>
          <w:sz w:val="28"/>
          <w:szCs w:val="28"/>
        </w:rPr>
        <w:t>二、考试内容与考试要求</w:t>
      </w:r>
    </w:p>
    <w:p>
      <w:pPr>
        <w:widowControl/>
        <w:spacing w:before="225" w:after="100" w:afterAutospacing="1" w:line="360" w:lineRule="atLeast"/>
        <w:jc w:val="center"/>
        <w:rPr>
          <w:rFonts w:hAnsi="宋体"/>
          <w:b/>
          <w:bCs/>
          <w:kern w:val="0"/>
          <w:sz w:val="28"/>
          <w:szCs w:val="28"/>
          <w:lang w:bidi="hi-IN"/>
        </w:rPr>
      </w:pPr>
      <w:r>
        <w:rPr>
          <w:rFonts w:hint="eastAsia" w:hAnsi="宋体"/>
          <w:b/>
          <w:bCs/>
          <w:kern w:val="0"/>
          <w:sz w:val="28"/>
          <w:szCs w:val="28"/>
          <w:lang w:bidi="hi-IN"/>
        </w:rPr>
        <w:t>机械原理</w:t>
      </w:r>
    </w:p>
    <w:p>
      <w:pPr>
        <w:snapToGrid w:val="0"/>
        <w:spacing w:line="360" w:lineRule="auto"/>
        <w:ind w:firstLine="560" w:firstLineChars="2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1.考试</w:t>
      </w:r>
      <w:r>
        <w:rPr>
          <w:rFonts w:ascii="黑体" w:eastAsia="黑体"/>
          <w:sz w:val="28"/>
          <w:szCs w:val="28"/>
        </w:rPr>
        <w:t>目标：</w:t>
      </w:r>
    </w:p>
    <w:p>
      <w:pPr>
        <w:widowControl/>
        <w:spacing w:line="360" w:lineRule="auto"/>
        <w:ind w:firstLine="48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系统考察考生对机械原理的基本概念、基本理论和基本设计方法的理解和掌握程度，以及将其应用于实际中的能力。</w:t>
      </w:r>
    </w:p>
    <w:p>
      <w:pPr>
        <w:widowControl/>
        <w:spacing w:line="360" w:lineRule="auto"/>
        <w:ind w:firstLine="480"/>
        <w:jc w:val="left"/>
        <w:rPr>
          <w:rFonts w:hAnsi="宋体"/>
          <w:kern w:val="0"/>
          <w:sz w:val="24"/>
          <w:lang w:bidi="hi-IN"/>
        </w:rPr>
      </w:pPr>
    </w:p>
    <w:p>
      <w:pPr>
        <w:snapToGrid w:val="0"/>
        <w:spacing w:line="360" w:lineRule="auto"/>
        <w:ind w:firstLine="560" w:firstLineChars="2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2.考试范围（主要内容）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一、平面机构的结构分析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1.理解零件、构件、运动副及运动链、机构、机械、机器的概念，</w:t>
      </w:r>
      <w:r>
        <w:rPr>
          <w:rFonts w:hint="eastAsia" w:ascii="楷体_GB2312" w:eastAsia="楷体_GB2312"/>
          <w:sz w:val="28"/>
          <w:szCs w:val="28"/>
        </w:rPr>
        <w:t>掌握各平面运动副提供的</w:t>
      </w:r>
      <w:r>
        <w:rPr>
          <w:rFonts w:ascii="楷体_GB2312" w:eastAsia="楷体_GB2312"/>
          <w:sz w:val="28"/>
          <w:szCs w:val="28"/>
        </w:rPr>
        <w:t>约束</w:t>
      </w:r>
      <w:r>
        <w:rPr>
          <w:rFonts w:hint="eastAsia" w:ascii="楷体_GB2312" w:eastAsia="楷体_GB2312"/>
          <w:sz w:val="28"/>
          <w:szCs w:val="28"/>
        </w:rPr>
        <w:t>度</w:t>
      </w:r>
      <w:r>
        <w:rPr>
          <w:rFonts w:ascii="楷体_GB2312" w:eastAsia="楷体_GB2312"/>
          <w:sz w:val="28"/>
          <w:szCs w:val="28"/>
        </w:rPr>
        <w:t>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2.掌握机构运动简图的绘制。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3.掌握平面机构的自由度计算及机构具有确定运动的条件，并能识别机构中的复合铰链、局部自由度和虚约束。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4.掌握平面机构Ⅱ级、Ⅲ级杆组的结构特点，掌握平面机构的组成原理和结构分析方法。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二、平面机构</w:t>
      </w:r>
      <w:r>
        <w:rPr>
          <w:rFonts w:hint="eastAsia" w:ascii="楷体_GB2312" w:eastAsia="楷体_GB2312"/>
          <w:sz w:val="28"/>
          <w:szCs w:val="28"/>
        </w:rPr>
        <w:t>的</w:t>
      </w:r>
      <w:r>
        <w:rPr>
          <w:rFonts w:ascii="楷体_GB2312" w:eastAsia="楷体_GB2312"/>
          <w:sz w:val="28"/>
          <w:szCs w:val="28"/>
        </w:rPr>
        <w:t>运动分析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</w:t>
      </w:r>
      <w:r>
        <w:rPr>
          <w:rFonts w:hint="eastAsia" w:ascii="楷体_GB2312" w:eastAsia="楷体_GB2312"/>
          <w:sz w:val="28"/>
          <w:szCs w:val="28"/>
        </w:rPr>
        <w:t>掌握</w:t>
      </w:r>
      <w:r>
        <w:rPr>
          <w:rFonts w:ascii="楷体_GB2312" w:eastAsia="楷体_GB2312"/>
          <w:sz w:val="28"/>
          <w:szCs w:val="28"/>
        </w:rPr>
        <w:t>速度瞬心的概念，掌握机构速度</w:t>
      </w:r>
      <w:r>
        <w:rPr>
          <w:rFonts w:hint="eastAsia" w:ascii="楷体_GB2312" w:eastAsia="楷体_GB2312"/>
          <w:sz w:val="28"/>
          <w:szCs w:val="28"/>
        </w:rPr>
        <w:t>瞬心总数的计算、</w:t>
      </w:r>
      <w:r>
        <w:rPr>
          <w:rFonts w:ascii="楷体_GB2312" w:eastAsia="楷体_GB2312"/>
          <w:sz w:val="28"/>
          <w:szCs w:val="28"/>
        </w:rPr>
        <w:t>瞬心的确定方法以及速度瞬心法在机构速度分析中的应用。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</w:t>
      </w:r>
      <w:r>
        <w:rPr>
          <w:rFonts w:hint="eastAsia" w:ascii="楷体_GB2312" w:eastAsia="楷体_GB2312"/>
          <w:sz w:val="28"/>
          <w:szCs w:val="28"/>
        </w:rPr>
        <w:t>理解</w:t>
      </w:r>
      <w:r>
        <w:rPr>
          <w:rFonts w:ascii="楷体_GB2312" w:eastAsia="楷体_GB2312"/>
          <w:sz w:val="28"/>
          <w:szCs w:val="28"/>
        </w:rPr>
        <w:t>用</w:t>
      </w:r>
      <w:r>
        <w:rPr>
          <w:rFonts w:hint="eastAsia" w:ascii="楷体_GB2312" w:eastAsia="楷体_GB2312"/>
          <w:sz w:val="28"/>
          <w:szCs w:val="28"/>
        </w:rPr>
        <w:t>解析</w:t>
      </w:r>
      <w:r>
        <w:rPr>
          <w:rFonts w:ascii="楷体_GB2312" w:eastAsia="楷体_GB2312"/>
          <w:sz w:val="28"/>
          <w:szCs w:val="28"/>
        </w:rPr>
        <w:t>法作平面机构的速度、加速度分析的思路和方法。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三、平面机构的力分析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1.了解平面连杆机构动态静力分析数学模型的建立思路。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2.掌握质量代换法的条件。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</w:t>
      </w:r>
      <w:r>
        <w:rPr>
          <w:rFonts w:ascii="楷体_GB2312" w:eastAsia="楷体_GB2312"/>
          <w:sz w:val="28"/>
          <w:szCs w:val="28"/>
        </w:rPr>
        <w:t>.掌握运动副中摩擦力的确定、计入运动副摩擦时的机构静力分析方法。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四、机械的效率和自锁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</w:t>
      </w:r>
      <w:r>
        <w:rPr>
          <w:rFonts w:ascii="楷体_GB2312" w:eastAsia="楷体_GB2312"/>
          <w:sz w:val="28"/>
          <w:szCs w:val="28"/>
        </w:rPr>
        <w:t>.掌握机械效率及计算方法，深入理解机械自锁概念，能通过力分析或效率分析进行机械自锁性判别和自锁条件的建立。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五</w:t>
      </w:r>
      <w:r>
        <w:rPr>
          <w:rFonts w:ascii="楷体_GB2312" w:eastAsia="楷体_GB2312"/>
          <w:sz w:val="28"/>
          <w:szCs w:val="28"/>
        </w:rPr>
        <w:t>、</w:t>
      </w:r>
      <w:r>
        <w:rPr>
          <w:rFonts w:hint="eastAsia" w:ascii="楷体_GB2312" w:eastAsia="楷体_GB2312"/>
          <w:sz w:val="28"/>
          <w:szCs w:val="28"/>
        </w:rPr>
        <w:t>机械的平衡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1.掌握刚性</w:t>
      </w:r>
      <w:r>
        <w:rPr>
          <w:rFonts w:hint="eastAsia" w:ascii="楷体_GB2312" w:eastAsia="楷体_GB2312"/>
          <w:sz w:val="28"/>
          <w:szCs w:val="28"/>
        </w:rPr>
        <w:t>转子</w:t>
      </w:r>
      <w:r>
        <w:rPr>
          <w:rFonts w:ascii="楷体_GB2312" w:eastAsia="楷体_GB2312"/>
          <w:sz w:val="28"/>
          <w:szCs w:val="28"/>
        </w:rPr>
        <w:t>的静平衡与动平衡的原理和平衡设计计算方法。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六</w:t>
      </w:r>
      <w:r>
        <w:rPr>
          <w:rFonts w:ascii="楷体_GB2312" w:eastAsia="楷体_GB2312"/>
          <w:sz w:val="28"/>
          <w:szCs w:val="28"/>
        </w:rPr>
        <w:t>、机械</w:t>
      </w:r>
      <w:r>
        <w:rPr>
          <w:rFonts w:hint="eastAsia" w:ascii="楷体_GB2312" w:eastAsia="楷体_GB2312"/>
          <w:sz w:val="28"/>
          <w:szCs w:val="28"/>
        </w:rPr>
        <w:t>的运转及其</w:t>
      </w:r>
      <w:r>
        <w:rPr>
          <w:rFonts w:ascii="楷体_GB2312" w:eastAsia="楷体_GB2312"/>
          <w:sz w:val="28"/>
          <w:szCs w:val="28"/>
        </w:rPr>
        <w:t>速度波动的调节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</w:t>
      </w:r>
      <w:r>
        <w:rPr>
          <w:rFonts w:hint="eastAsia" w:ascii="楷体_GB2312" w:eastAsia="楷体_GB2312"/>
          <w:sz w:val="28"/>
          <w:szCs w:val="28"/>
        </w:rPr>
        <w:t>理解</w:t>
      </w:r>
      <w:r>
        <w:rPr>
          <w:rFonts w:ascii="楷体_GB2312" w:eastAsia="楷体_GB2312"/>
          <w:sz w:val="28"/>
          <w:szCs w:val="28"/>
        </w:rPr>
        <w:t>机械系统等效动力学模型的等效原则及建立与求解方法。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2.理解机械运转的平均</w:t>
      </w:r>
      <w:r>
        <w:rPr>
          <w:rFonts w:hint="eastAsia" w:ascii="楷体_GB2312" w:eastAsia="楷体_GB2312"/>
          <w:sz w:val="28"/>
          <w:szCs w:val="28"/>
        </w:rPr>
        <w:t>角</w:t>
      </w:r>
      <w:r>
        <w:rPr>
          <w:rFonts w:ascii="楷体_GB2312" w:eastAsia="楷体_GB2312"/>
          <w:sz w:val="28"/>
          <w:szCs w:val="28"/>
        </w:rPr>
        <w:t>速度和不均匀系数的概念，周期性与非周期性速度波动的原因及调节方法；掌握机器周期性速度波动的飞轮调速原理及飞轮设计</w:t>
      </w:r>
      <w:r>
        <w:rPr>
          <w:rFonts w:hint="eastAsia" w:ascii="楷体_GB2312" w:eastAsia="楷体_GB2312"/>
          <w:sz w:val="28"/>
          <w:szCs w:val="28"/>
        </w:rPr>
        <w:t>思想和</w:t>
      </w:r>
      <w:r>
        <w:rPr>
          <w:rFonts w:ascii="楷体_GB2312" w:eastAsia="楷体_GB2312"/>
          <w:sz w:val="28"/>
          <w:szCs w:val="28"/>
        </w:rPr>
        <w:t>方法。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七</w:t>
      </w:r>
      <w:r>
        <w:rPr>
          <w:rFonts w:ascii="楷体_GB2312" w:eastAsia="楷体_GB2312"/>
          <w:sz w:val="28"/>
          <w:szCs w:val="28"/>
        </w:rPr>
        <w:t>、连杆机构及其设计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1.理解平面四杆机构的基本型式、特点及其演化。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2.掌握平面四杆机构的主要工作特性（包括平面四杆机构存在曲柄的条件，急回特性与极位夹角，压力角和传动角及最小传动角出现位置，以及死点位置</w:t>
      </w:r>
      <w:r>
        <w:rPr>
          <w:rFonts w:ascii="楷体_GB2312" w:eastAsia="楷体_GB2312"/>
          <w:sz w:val="28"/>
          <w:szCs w:val="28"/>
          <w:highlight w:val="none"/>
        </w:rPr>
        <w:t>，并能在图中标出</w:t>
      </w:r>
      <w:r>
        <w:rPr>
          <w:rFonts w:ascii="楷体_GB2312" w:eastAsia="楷体_GB2312"/>
          <w:sz w:val="28"/>
          <w:szCs w:val="28"/>
        </w:rPr>
        <w:t>）。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八</w:t>
      </w:r>
      <w:r>
        <w:rPr>
          <w:rFonts w:ascii="楷体_GB2312" w:eastAsia="楷体_GB2312"/>
          <w:sz w:val="28"/>
          <w:szCs w:val="28"/>
        </w:rPr>
        <w:t>、凸轮机构及其设计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1.了解凸轮机构的类型特点</w:t>
      </w:r>
      <w:bookmarkStart w:id="0" w:name="_GoBack"/>
      <w:bookmarkEnd w:id="0"/>
      <w:r>
        <w:rPr>
          <w:rFonts w:ascii="楷体_GB2312" w:eastAsia="楷体_GB2312"/>
          <w:sz w:val="28"/>
          <w:szCs w:val="28"/>
        </w:rPr>
        <w:t>和应用。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2.理解从动件基本运动规律及其特性。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3.理解凸轮机构偏心，凸轮基圆、推程运动角、远休止角、回程运动角、近休止角、理论轮廓与实际轮廓，从动件行程及机构压力角等概念，并能在图中标出；掌握凸轮机构基本</w:t>
      </w:r>
      <w:r>
        <w:rPr>
          <w:rFonts w:hint="eastAsia" w:ascii="楷体_GB2312" w:eastAsia="楷体_GB2312"/>
          <w:sz w:val="28"/>
          <w:szCs w:val="28"/>
        </w:rPr>
        <w:t>尺寸</w:t>
      </w:r>
      <w:r>
        <w:rPr>
          <w:rFonts w:ascii="楷体_GB2312" w:eastAsia="楷体_GB2312"/>
          <w:sz w:val="28"/>
          <w:szCs w:val="28"/>
        </w:rPr>
        <w:t>的确定原则与方法，引起从动件运动失真的原因以及避免运动失真的措施；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九</w:t>
      </w:r>
      <w:r>
        <w:rPr>
          <w:rFonts w:ascii="楷体_GB2312" w:eastAsia="楷体_GB2312"/>
          <w:sz w:val="28"/>
          <w:szCs w:val="28"/>
        </w:rPr>
        <w:t>、齿轮机构及其设计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1.了解齿轮传动的特点、应用及类型。理解齿廓啮合基本定律。理解渐开线和渐开线齿廓的啮合性质（定传动比传动、中心距可分性）。</w:t>
      </w:r>
      <w:r>
        <w:rPr>
          <w:rFonts w:hint="eastAsia" w:ascii="楷体_GB2312" w:eastAsia="楷体_GB2312"/>
          <w:sz w:val="28"/>
          <w:szCs w:val="28"/>
        </w:rPr>
        <w:t>熟练</w:t>
      </w:r>
      <w:r>
        <w:rPr>
          <w:rFonts w:ascii="楷体_GB2312" w:eastAsia="楷体_GB2312"/>
          <w:sz w:val="28"/>
          <w:szCs w:val="28"/>
        </w:rPr>
        <w:t>掌握渐开线标准直齿圆柱齿轮各部分名称、基本参数及几何尺寸计算。理解啮合线、啮合角、节圆、标准齿轮、标准安装与标准中心距等概念。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理解渐开线标准直齿圆柱齿轮啮合传动应满足的条件（正确啮合条件、无侧隙啮合条件及标准安装、连续传动条件）。理解渐开线齿轮的切齿原理和方法、标准齿轮与变位齿轮的切制特点、根切现象及最少齿数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</w:t>
      </w:r>
      <w:r>
        <w:rPr>
          <w:rFonts w:ascii="楷体_GB2312" w:eastAsia="楷体_GB2312"/>
          <w:sz w:val="28"/>
          <w:szCs w:val="28"/>
        </w:rPr>
        <w:t>.理解标准斜齿圆柱齿轮的齿廓曲面的形成、法面参数与端面参数的关系、几何尺寸计算、当量齿轮的概念；</w:t>
      </w:r>
      <w:r>
        <w:rPr>
          <w:rFonts w:hint="eastAsia" w:ascii="楷体_GB2312" w:eastAsia="楷体_GB2312"/>
          <w:sz w:val="28"/>
          <w:szCs w:val="28"/>
        </w:rPr>
        <w:t>掌握</w:t>
      </w:r>
      <w:r>
        <w:rPr>
          <w:rFonts w:ascii="楷体_GB2312" w:eastAsia="楷体_GB2312"/>
          <w:sz w:val="28"/>
          <w:szCs w:val="28"/>
        </w:rPr>
        <w:t>平行轴斜齿轮传动正确啮合条件；了解交错轴斜齿轮传动的特点。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</w:t>
      </w:r>
      <w:r>
        <w:rPr>
          <w:rFonts w:ascii="楷体_GB2312" w:eastAsia="楷体_GB2312"/>
          <w:sz w:val="28"/>
          <w:szCs w:val="28"/>
        </w:rPr>
        <w:t>.</w:t>
      </w:r>
      <w:r>
        <w:rPr>
          <w:rFonts w:hint="eastAsia" w:ascii="楷体_GB2312" w:eastAsia="楷体_GB2312"/>
          <w:sz w:val="28"/>
          <w:szCs w:val="28"/>
        </w:rPr>
        <w:t>理解</w:t>
      </w:r>
      <w:r>
        <w:rPr>
          <w:rFonts w:ascii="楷体_GB2312" w:eastAsia="楷体_GB2312"/>
          <w:sz w:val="28"/>
          <w:szCs w:val="28"/>
        </w:rPr>
        <w:t>直齿圆锥齿轮的齿廓曲面、背锥、当量齿数及几何尺寸计算。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5</w:t>
      </w:r>
      <w:r>
        <w:rPr>
          <w:rFonts w:ascii="楷体_GB2312" w:eastAsia="楷体_GB2312"/>
          <w:sz w:val="28"/>
          <w:szCs w:val="28"/>
        </w:rPr>
        <w:t>.了解蜗杆传动的特点和类型。掌握蜗杆传动的主要参数及几何尺寸计算。掌握蜗杆、蜗轮转向与轮齿旋向之间的关系。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十</w:t>
      </w:r>
      <w:r>
        <w:rPr>
          <w:rFonts w:ascii="楷体_GB2312" w:eastAsia="楷体_GB2312"/>
          <w:sz w:val="28"/>
          <w:szCs w:val="28"/>
        </w:rPr>
        <w:t>、</w:t>
      </w:r>
      <w:r>
        <w:rPr>
          <w:rFonts w:hint="eastAsia" w:ascii="楷体_GB2312" w:eastAsia="楷体_GB2312"/>
          <w:sz w:val="28"/>
          <w:szCs w:val="28"/>
        </w:rPr>
        <w:t>齿</w:t>
      </w:r>
      <w:r>
        <w:rPr>
          <w:rFonts w:ascii="楷体_GB2312" w:eastAsia="楷体_GB2312"/>
          <w:sz w:val="28"/>
          <w:szCs w:val="28"/>
        </w:rPr>
        <w:t>轮系及其设计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1.了解</w:t>
      </w:r>
      <w:r>
        <w:rPr>
          <w:rFonts w:hint="eastAsia" w:ascii="楷体_GB2312" w:eastAsia="楷体_GB2312"/>
          <w:sz w:val="28"/>
          <w:szCs w:val="28"/>
        </w:rPr>
        <w:t>定轴</w:t>
      </w:r>
      <w:r>
        <w:rPr>
          <w:rFonts w:ascii="楷体_GB2312" w:eastAsia="楷体_GB2312"/>
          <w:sz w:val="28"/>
          <w:szCs w:val="28"/>
        </w:rPr>
        <w:t>轮系</w:t>
      </w:r>
      <w:r>
        <w:rPr>
          <w:rFonts w:hint="eastAsia" w:ascii="楷体_GB2312" w:eastAsia="楷体_GB2312"/>
          <w:sz w:val="28"/>
          <w:szCs w:val="28"/>
        </w:rPr>
        <w:t>、周转轮系和复合轮系</w:t>
      </w:r>
      <w:r>
        <w:rPr>
          <w:rFonts w:ascii="楷体_GB2312" w:eastAsia="楷体_GB2312"/>
          <w:sz w:val="28"/>
          <w:szCs w:val="28"/>
        </w:rPr>
        <w:t>的组成</w:t>
      </w:r>
      <w:r>
        <w:rPr>
          <w:rFonts w:hint="eastAsia" w:ascii="楷体_GB2312" w:eastAsia="楷体_GB2312"/>
          <w:sz w:val="28"/>
          <w:szCs w:val="28"/>
        </w:rPr>
        <w:t>和</w:t>
      </w:r>
      <w:r>
        <w:rPr>
          <w:rFonts w:ascii="楷体_GB2312" w:eastAsia="楷体_GB2312"/>
          <w:sz w:val="28"/>
          <w:szCs w:val="28"/>
        </w:rPr>
        <w:t>运动特点。</w:t>
      </w:r>
    </w:p>
    <w:p>
      <w:pPr>
        <w:snapToGrid w:val="0"/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/>
          <w:sz w:val="28"/>
          <w:szCs w:val="28"/>
        </w:rPr>
        <w:t>2.掌握定轴轮系、周转轮系和复合轮系传动比的计算方法及主、从动轮转向关系的确定。</w:t>
      </w:r>
    </w:p>
    <w:p>
      <w:pPr>
        <w:snapToGrid w:val="0"/>
        <w:spacing w:line="360" w:lineRule="auto"/>
        <w:jc w:val="left"/>
        <w:rPr>
          <w:rFonts w:ascii="楷体_GB2312" w:eastAsia="楷体_GB2312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3.主要参考书</w:t>
      </w:r>
    </w:p>
    <w:p>
      <w:pPr>
        <w:snapToGrid w:val="0"/>
        <w:spacing w:line="360" w:lineRule="auto"/>
        <w:ind w:left="420"/>
        <w:rPr>
          <w:rFonts w:ascii="仿宋_GB2312" w:eastAsia="仿宋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孙桓，陈作模，葛文杰</w:t>
      </w:r>
      <w:r>
        <w:rPr>
          <w:rFonts w:hint="eastAsia" w:ascii="仿宋_GB2312" w:hAnsi="宋体" w:eastAsia="仿宋_GB2312"/>
          <w:sz w:val="28"/>
          <w:szCs w:val="28"/>
        </w:rPr>
        <w:t>.</w:t>
      </w:r>
      <w:r>
        <w:rPr>
          <w:rFonts w:hint="eastAsia" w:ascii="楷体_GB2312" w:eastAsia="楷体_GB2312"/>
          <w:sz w:val="28"/>
          <w:szCs w:val="28"/>
        </w:rPr>
        <w:t>机械原理（第八版）</w:t>
      </w:r>
      <w:r>
        <w:rPr>
          <w:rFonts w:ascii="楷体_GB2312" w:eastAsia="楷体_GB2312"/>
          <w:sz w:val="28"/>
          <w:szCs w:val="28"/>
        </w:rPr>
        <w:t>.</w:t>
      </w:r>
      <w:r>
        <w:rPr>
          <w:rFonts w:hint="eastAsia" w:ascii="楷体_GB2312" w:eastAsia="楷体_GB2312"/>
          <w:sz w:val="28"/>
          <w:szCs w:val="28"/>
        </w:rPr>
        <w:t>高等教育出版社</w:t>
      </w:r>
      <w:r>
        <w:rPr>
          <w:rFonts w:ascii="楷体_GB2312" w:eastAsia="楷体_GB2312"/>
          <w:sz w:val="28"/>
          <w:szCs w:val="28"/>
        </w:rPr>
        <w:t>.20</w:t>
      </w:r>
      <w:r>
        <w:rPr>
          <w:rFonts w:hint="eastAsia" w:ascii="楷体_GB2312" w:eastAsia="楷体_GB2312"/>
          <w:sz w:val="28"/>
          <w:szCs w:val="28"/>
        </w:rPr>
        <w:t>13年</w:t>
      </w:r>
    </w:p>
    <w:p/>
    <w:p>
      <w:pPr>
        <w:snapToGrid w:val="0"/>
        <w:spacing w:line="360" w:lineRule="auto"/>
        <w:ind w:left="420"/>
        <w:rPr>
          <w:rFonts w:ascii="楷体_GB2312" w:eastAsia="楷体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2D5"/>
    <w:rsid w:val="000148D1"/>
    <w:rsid w:val="0001748B"/>
    <w:rsid w:val="00092FE7"/>
    <w:rsid w:val="000B02F3"/>
    <w:rsid w:val="000C6F9B"/>
    <w:rsid w:val="000D0741"/>
    <w:rsid w:val="001812B9"/>
    <w:rsid w:val="0022631B"/>
    <w:rsid w:val="002A43A4"/>
    <w:rsid w:val="003C6117"/>
    <w:rsid w:val="004148C5"/>
    <w:rsid w:val="0048026D"/>
    <w:rsid w:val="004942FF"/>
    <w:rsid w:val="00560231"/>
    <w:rsid w:val="00572FAF"/>
    <w:rsid w:val="00584090"/>
    <w:rsid w:val="005866E2"/>
    <w:rsid w:val="005E646A"/>
    <w:rsid w:val="00680452"/>
    <w:rsid w:val="00685357"/>
    <w:rsid w:val="00694AEF"/>
    <w:rsid w:val="006E1E5D"/>
    <w:rsid w:val="006E5618"/>
    <w:rsid w:val="007160EB"/>
    <w:rsid w:val="00732C4C"/>
    <w:rsid w:val="00737F49"/>
    <w:rsid w:val="00764905"/>
    <w:rsid w:val="008C09FB"/>
    <w:rsid w:val="008D72B0"/>
    <w:rsid w:val="008E29EC"/>
    <w:rsid w:val="00904CB1"/>
    <w:rsid w:val="0093335A"/>
    <w:rsid w:val="00933F5F"/>
    <w:rsid w:val="0094275B"/>
    <w:rsid w:val="00994C4E"/>
    <w:rsid w:val="009D012E"/>
    <w:rsid w:val="009F78DE"/>
    <w:rsid w:val="00A67B12"/>
    <w:rsid w:val="00AC3CA4"/>
    <w:rsid w:val="00AD0B18"/>
    <w:rsid w:val="00B050BA"/>
    <w:rsid w:val="00B05177"/>
    <w:rsid w:val="00BF46B2"/>
    <w:rsid w:val="00C07585"/>
    <w:rsid w:val="00C542D5"/>
    <w:rsid w:val="00C95A46"/>
    <w:rsid w:val="00CC08D6"/>
    <w:rsid w:val="00D31CC7"/>
    <w:rsid w:val="00D52A37"/>
    <w:rsid w:val="00D628B2"/>
    <w:rsid w:val="00D82F0C"/>
    <w:rsid w:val="00DB5675"/>
    <w:rsid w:val="00DE7EA3"/>
    <w:rsid w:val="00E760F5"/>
    <w:rsid w:val="00EB27DE"/>
    <w:rsid w:val="00F0002D"/>
    <w:rsid w:val="00F110D3"/>
    <w:rsid w:val="00F22417"/>
    <w:rsid w:val="00F24B53"/>
    <w:rsid w:val="00F87D24"/>
    <w:rsid w:val="00FA2B3F"/>
    <w:rsid w:val="00FB6E03"/>
    <w:rsid w:val="00FF52B0"/>
    <w:rsid w:val="00FF762A"/>
    <w:rsid w:val="1BAB5E41"/>
    <w:rsid w:val="710151C1"/>
    <w:rsid w:val="7FB810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258</Words>
  <Characters>1474</Characters>
  <Lines>12</Lines>
  <Paragraphs>3</Paragraphs>
  <ScaleCrop>false</ScaleCrop>
  <LinksUpToDate>false</LinksUpToDate>
  <CharactersWithSpaces>1729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2014-07-01T13:04:00Z</dcterms:created>
  <dc:creator>Chung-Hsiang Chern</dc:creator>
  <cp:lastModifiedBy>lenovo</cp:lastModifiedBy>
  <dcterms:modified xsi:type="dcterms:W3CDTF">2017-07-04T08:20:26Z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