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跨专业补修本科课程汇总表</w:t>
      </w: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学院（盖章）：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填表日期：</w:t>
      </w:r>
    </w:p>
    <w:tbl>
      <w:tblPr>
        <w:tblStyle w:val="3"/>
        <w:tblW w:w="22177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40"/>
        <w:gridCol w:w="1020"/>
        <w:gridCol w:w="2865"/>
        <w:gridCol w:w="1470"/>
        <w:gridCol w:w="1230"/>
        <w:gridCol w:w="1095"/>
        <w:gridCol w:w="1399"/>
        <w:gridCol w:w="1399"/>
        <w:gridCol w:w="2595"/>
        <w:gridCol w:w="1378"/>
        <w:gridCol w:w="1140"/>
        <w:gridCol w:w="1065"/>
        <w:gridCol w:w="1275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导师姓名</w:t>
            </w:r>
          </w:p>
        </w:tc>
        <w:tc>
          <w:tcPr>
            <w:tcW w:w="9458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跨专业补修课程一</w:t>
            </w:r>
          </w:p>
        </w:tc>
        <w:tc>
          <w:tcPr>
            <w:tcW w:w="8951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跨专业补修课程二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考核组织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课程名称</w:t>
            </w:r>
            <w:bookmarkStart w:id="0" w:name="_GoBack"/>
            <w:bookmarkEnd w:id="0"/>
          </w:p>
        </w:tc>
        <w:tc>
          <w:tcPr>
            <w:tcW w:w="1378" w:type="dxa"/>
            <w:vAlign w:val="center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课程序号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上课</w:t>
            </w:r>
          </w:p>
          <w:p>
            <w:pPr>
              <w:jc w:val="center"/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上课</w:t>
            </w:r>
          </w:p>
          <w:p>
            <w:pPr>
              <w:jc w:val="center"/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149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考核组织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95" w:type="dxa"/>
            <w:vAlign w:val="top"/>
          </w:tcPr>
          <w:p>
            <w:pPr>
              <w:jc w:val="both"/>
            </w:pPr>
          </w:p>
        </w:tc>
        <w:tc>
          <w:tcPr>
            <w:tcW w:w="1378" w:type="dxa"/>
            <w:vAlign w:val="top"/>
          </w:tcPr>
          <w:p>
            <w:pPr>
              <w:jc w:val="both"/>
            </w:pPr>
          </w:p>
        </w:tc>
        <w:tc>
          <w:tcPr>
            <w:tcW w:w="1140" w:type="dxa"/>
            <w:vAlign w:val="top"/>
          </w:tcPr>
          <w:p>
            <w:pPr>
              <w:jc w:val="both"/>
            </w:pPr>
          </w:p>
        </w:tc>
        <w:tc>
          <w:tcPr>
            <w:tcW w:w="1065" w:type="dxa"/>
            <w:vAlign w:val="top"/>
          </w:tcPr>
          <w:p>
            <w:pPr>
              <w:jc w:val="both"/>
            </w:pPr>
          </w:p>
        </w:tc>
        <w:tc>
          <w:tcPr>
            <w:tcW w:w="1275" w:type="dxa"/>
            <w:vAlign w:val="top"/>
          </w:tcPr>
          <w:p>
            <w:pPr>
              <w:jc w:val="both"/>
            </w:pPr>
          </w:p>
        </w:tc>
        <w:tc>
          <w:tcPr>
            <w:tcW w:w="149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注：</w:t>
      </w:r>
      <w:r>
        <w:rPr>
          <w:rFonts w:hint="eastAsia"/>
          <w:sz w:val="24"/>
          <w:szCs w:val="24"/>
          <w:lang w:eastAsia="zh-CN"/>
        </w:rPr>
        <w:t>考核组织方式包括：导师考核、责任学院统一考核、参加本科课程考核。如参加本科课程考核，请学院进行沟通及安排。</w:t>
      </w:r>
    </w:p>
    <w:sectPr>
      <w:pgSz w:w="23757" w:h="16783" w:orient="landscape"/>
      <w:pgMar w:top="1157" w:right="1157" w:bottom="1157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2B0A"/>
    <w:rsid w:val="143A6E75"/>
    <w:rsid w:val="14D7338C"/>
    <w:rsid w:val="16743B88"/>
    <w:rsid w:val="1C021E1C"/>
    <w:rsid w:val="24EC1ED0"/>
    <w:rsid w:val="379F2742"/>
    <w:rsid w:val="528E1386"/>
    <w:rsid w:val="5B1825DF"/>
    <w:rsid w:val="625976AD"/>
    <w:rsid w:val="74E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2019-09-12T01:30:00Z</dcterms:created>
  <dc:creator>wangjing</dc:creator>
  <cp:lastModifiedBy>wangjing</cp:lastModifiedBy>
  <dcterms:modified xsi:type="dcterms:W3CDTF">2020-01-09T09:09:21Z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