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29C" w:rsidRDefault="00AE529C">
      <w:pPr>
        <w:pStyle w:val="a3"/>
        <w:spacing w:before="0"/>
        <w:ind w:left="112"/>
        <w:rPr>
          <w:rFonts w:ascii="Times New Roman"/>
          <w:sz w:val="20"/>
        </w:rPr>
      </w:pPr>
    </w:p>
    <w:p w:rsidR="00AE529C" w:rsidRDefault="00AE529C">
      <w:pPr>
        <w:pStyle w:val="Heading1"/>
        <w:spacing w:line="259" w:lineRule="exact"/>
        <w:ind w:left="2356"/>
      </w:pPr>
      <w:r w:rsidRPr="00AE529C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95.3pt;margin-top:-30.6pt;width:4.6pt;height:9pt;z-index:-3328;mso-position-horizontal-relative:page" filled="f" stroked="f">
            <v:textbox inset="0,0,0,0">
              <w:txbxContent>
                <w:p w:rsidR="00AE529C" w:rsidRDefault="00AE529C">
                  <w:pPr>
                    <w:spacing w:line="180" w:lineRule="exact"/>
                    <w:rPr>
                      <w:rFonts w:ascii="Calibri"/>
                      <w:sz w:val="18"/>
                    </w:rPr>
                  </w:pPr>
                </w:p>
              </w:txbxContent>
            </v:textbox>
            <w10:wrap anchorx="page"/>
          </v:shape>
        </w:pict>
      </w:r>
      <w:r w:rsidR="00E9415C">
        <w:t xml:space="preserve">2015 </w:t>
      </w:r>
      <w:r w:rsidR="00E9415C">
        <w:t>年东北财经大学</w:t>
      </w:r>
      <w:r w:rsidR="00E9415C">
        <w:t xml:space="preserve"> 431 </w:t>
      </w:r>
      <w:r w:rsidR="00E9415C">
        <w:t>金融学综合考研真题</w:t>
      </w:r>
    </w:p>
    <w:p w:rsidR="00AE529C" w:rsidRDefault="00AE529C">
      <w:pPr>
        <w:pStyle w:val="a3"/>
        <w:spacing w:before="3"/>
        <w:rPr>
          <w:b/>
          <w:sz w:val="22"/>
        </w:rPr>
      </w:pPr>
    </w:p>
    <w:p w:rsidR="00AE529C" w:rsidRDefault="00E9415C">
      <w:pPr>
        <w:spacing w:before="70"/>
        <w:ind w:left="2906"/>
        <w:rPr>
          <w:b/>
          <w:sz w:val="21"/>
        </w:rPr>
      </w:pPr>
      <w:r>
        <w:rPr>
          <w:b/>
          <w:sz w:val="21"/>
        </w:rPr>
        <w:t>第一部分</w:t>
      </w:r>
      <w:r>
        <w:rPr>
          <w:b/>
          <w:sz w:val="21"/>
        </w:rPr>
        <w:t xml:space="preserve"> </w:t>
      </w:r>
      <w:r>
        <w:rPr>
          <w:b/>
          <w:sz w:val="21"/>
        </w:rPr>
        <w:t>货币银行学（共</w:t>
      </w:r>
      <w:r>
        <w:rPr>
          <w:b/>
          <w:sz w:val="21"/>
        </w:rPr>
        <w:t xml:space="preserve"> 50 </w:t>
      </w:r>
      <w:r>
        <w:rPr>
          <w:b/>
          <w:sz w:val="21"/>
        </w:rPr>
        <w:t>分）</w:t>
      </w:r>
    </w:p>
    <w:p w:rsidR="00AE529C" w:rsidRDefault="00E9415C">
      <w:pPr>
        <w:spacing w:before="43"/>
        <w:ind w:left="540"/>
        <w:rPr>
          <w:b/>
          <w:sz w:val="21"/>
        </w:rPr>
      </w:pPr>
      <w:r>
        <w:rPr>
          <w:b/>
          <w:sz w:val="21"/>
        </w:rPr>
        <w:t>一、问答题（共</w:t>
      </w:r>
      <w:r>
        <w:rPr>
          <w:b/>
          <w:sz w:val="21"/>
        </w:rPr>
        <w:t xml:space="preserve"> 20 </w:t>
      </w:r>
      <w:r>
        <w:rPr>
          <w:b/>
          <w:sz w:val="21"/>
        </w:rPr>
        <w:t>分）</w:t>
      </w:r>
    </w:p>
    <w:p w:rsidR="00AE529C" w:rsidRDefault="00E9415C">
      <w:pPr>
        <w:pStyle w:val="a4"/>
        <w:numPr>
          <w:ilvl w:val="0"/>
          <w:numId w:val="6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如何理解中央银行是</w:t>
      </w:r>
      <w:r>
        <w:rPr>
          <w:sz w:val="21"/>
        </w:rPr>
        <w:t>“</w:t>
      </w:r>
      <w:r>
        <w:rPr>
          <w:sz w:val="21"/>
        </w:rPr>
        <w:t>银行的银行</w:t>
      </w:r>
      <w:r>
        <w:rPr>
          <w:sz w:val="21"/>
        </w:rPr>
        <w:t>”</w:t>
      </w:r>
      <w:r>
        <w:rPr>
          <w:sz w:val="21"/>
        </w:rPr>
        <w:t>？（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E9415C">
      <w:pPr>
        <w:pStyle w:val="a4"/>
        <w:numPr>
          <w:ilvl w:val="0"/>
          <w:numId w:val="6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为什么银行的贷款利率必然高于存款利率？（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AE529C">
      <w:pPr>
        <w:pStyle w:val="a3"/>
        <w:spacing w:before="8"/>
        <w:rPr>
          <w:sz w:val="27"/>
        </w:rPr>
      </w:pPr>
    </w:p>
    <w:p w:rsidR="00AE529C" w:rsidRDefault="00E9415C">
      <w:pPr>
        <w:pStyle w:val="Heading1"/>
        <w:spacing w:before="1"/>
      </w:pPr>
      <w:r>
        <w:t>二、论述题（共</w:t>
      </w:r>
      <w:r>
        <w:t xml:space="preserve"> 12 </w:t>
      </w:r>
      <w:r>
        <w:t>分）</w:t>
      </w:r>
    </w:p>
    <w:p w:rsidR="00AE529C" w:rsidRDefault="00E9415C">
      <w:pPr>
        <w:pStyle w:val="a3"/>
        <w:ind w:left="540"/>
      </w:pPr>
      <w:r>
        <w:t>费雪的交易方程式的主要内容。（</w:t>
      </w:r>
      <w:r>
        <w:t xml:space="preserve">12 </w:t>
      </w:r>
      <w:r>
        <w:t>分）</w:t>
      </w:r>
    </w:p>
    <w:p w:rsidR="00AE529C" w:rsidRDefault="00AE529C">
      <w:pPr>
        <w:pStyle w:val="a3"/>
        <w:spacing w:before="8"/>
        <w:rPr>
          <w:sz w:val="27"/>
        </w:rPr>
      </w:pPr>
    </w:p>
    <w:p w:rsidR="00AE529C" w:rsidRDefault="00E9415C">
      <w:pPr>
        <w:pStyle w:val="Heading1"/>
        <w:spacing w:before="1"/>
      </w:pPr>
      <w:r>
        <w:t>三、实事分析与政策解读（共</w:t>
      </w:r>
      <w:r>
        <w:t xml:space="preserve"> 18 </w:t>
      </w:r>
      <w:r>
        <w:t>分）</w:t>
      </w:r>
    </w:p>
    <w:p w:rsidR="00AE529C" w:rsidRDefault="00E9415C">
      <w:pPr>
        <w:pStyle w:val="a3"/>
        <w:spacing w:before="42"/>
        <w:ind w:left="540"/>
      </w:pPr>
      <w:r>
        <w:rPr>
          <w:spacing w:val="-14"/>
        </w:rPr>
        <w:t>中国人民银行决定，自</w:t>
      </w:r>
      <w:r>
        <w:rPr>
          <w:spacing w:val="-14"/>
        </w:rPr>
        <w:t xml:space="preserve"> </w:t>
      </w:r>
      <w:r>
        <w:t>2014</w:t>
      </w:r>
      <w:r>
        <w:rPr>
          <w:spacing w:val="-37"/>
        </w:rPr>
        <w:t xml:space="preserve"> </w:t>
      </w:r>
      <w:r>
        <w:rPr>
          <w:spacing w:val="-37"/>
        </w:rPr>
        <w:t>年</w:t>
      </w:r>
      <w:r>
        <w:rPr>
          <w:spacing w:val="-37"/>
        </w:rPr>
        <w:t xml:space="preserve"> </w:t>
      </w:r>
      <w:r>
        <w:t>11</w:t>
      </w:r>
      <w:r>
        <w:rPr>
          <w:spacing w:val="-36"/>
        </w:rPr>
        <w:t xml:space="preserve"> </w:t>
      </w:r>
      <w:r>
        <w:rPr>
          <w:spacing w:val="-36"/>
        </w:rPr>
        <w:t>月</w:t>
      </w:r>
      <w:r>
        <w:rPr>
          <w:spacing w:val="-36"/>
        </w:rPr>
        <w:t xml:space="preserve"> </w:t>
      </w:r>
      <w:r>
        <w:t>22</w:t>
      </w:r>
      <w:r>
        <w:rPr>
          <w:spacing w:val="-8"/>
        </w:rPr>
        <w:t xml:space="preserve"> </w:t>
      </w:r>
      <w:r>
        <w:rPr>
          <w:spacing w:val="-8"/>
        </w:rPr>
        <w:t>日起下调金融机构人民币贷款和存款基准利率。</w:t>
      </w:r>
    </w:p>
    <w:p w:rsidR="00AE529C" w:rsidRPr="0050327F" w:rsidRDefault="00E9415C" w:rsidP="0050327F">
      <w:pPr>
        <w:pStyle w:val="a3"/>
        <w:spacing w:line="278" w:lineRule="auto"/>
        <w:ind w:left="120" w:right="216"/>
      </w:pPr>
      <w:r>
        <w:rPr>
          <w:spacing w:val="-4"/>
        </w:rPr>
        <w:t>金融机构一年期贷款基准利率下调</w:t>
      </w:r>
      <w:r>
        <w:rPr>
          <w:spacing w:val="-4"/>
        </w:rPr>
        <w:t xml:space="preserve"> </w:t>
      </w:r>
      <w:r>
        <w:t>0.4</w:t>
      </w:r>
      <w:r>
        <w:rPr>
          <w:spacing w:val="-17"/>
        </w:rPr>
        <w:t xml:space="preserve"> </w:t>
      </w:r>
      <w:r>
        <w:rPr>
          <w:spacing w:val="-17"/>
        </w:rPr>
        <w:t>个百分点至</w:t>
      </w:r>
      <w:r>
        <w:rPr>
          <w:spacing w:val="-17"/>
        </w:rPr>
        <w:t xml:space="preserve"> </w:t>
      </w:r>
      <w:r>
        <w:rPr>
          <w:spacing w:val="-8"/>
        </w:rPr>
        <w:t>5.6%</w:t>
      </w:r>
      <w:r>
        <w:rPr>
          <w:spacing w:val="-8"/>
        </w:rPr>
        <w:t>；一年期存款基准利率下调</w:t>
      </w:r>
      <w:r>
        <w:rPr>
          <w:spacing w:val="-8"/>
        </w:rPr>
        <w:t xml:space="preserve"> </w:t>
      </w:r>
      <w:r>
        <w:t>0.25</w:t>
      </w:r>
      <w:r>
        <w:rPr>
          <w:spacing w:val="-28"/>
        </w:rPr>
        <w:t xml:space="preserve"> </w:t>
      </w:r>
      <w:r>
        <w:rPr>
          <w:spacing w:val="-28"/>
        </w:rPr>
        <w:t>个</w:t>
      </w:r>
      <w:r>
        <w:rPr>
          <w:spacing w:val="-34"/>
        </w:rPr>
        <w:t>百分点至</w:t>
      </w:r>
      <w:r>
        <w:rPr>
          <w:spacing w:val="-34"/>
        </w:rPr>
        <w:t xml:space="preserve"> </w:t>
      </w:r>
      <w:r>
        <w:rPr>
          <w:spacing w:val="-7"/>
        </w:rPr>
        <w:t>2.75</w:t>
      </w:r>
      <w:r>
        <w:rPr>
          <w:spacing w:val="-6"/>
        </w:rPr>
        <w:t>%</w:t>
      </w:r>
      <w:r>
        <w:rPr>
          <w:spacing w:val="-6"/>
        </w:rPr>
        <w:t>，同时将金融机构存款利率浮动区间的上限由存款基准利率的</w:t>
      </w:r>
      <w:r>
        <w:rPr>
          <w:spacing w:val="-6"/>
        </w:rPr>
        <w:t xml:space="preserve"> </w:t>
      </w:r>
      <w:r>
        <w:t>1.1</w:t>
      </w:r>
      <w:r>
        <w:rPr>
          <w:spacing w:val="-12"/>
        </w:rPr>
        <w:t xml:space="preserve"> </w:t>
      </w:r>
      <w:r>
        <w:rPr>
          <w:spacing w:val="-12"/>
        </w:rPr>
        <w:t>倍调整为</w:t>
      </w:r>
      <w:r w:rsidR="0050327F">
        <w:rPr>
          <w:rFonts w:hint="eastAsia"/>
          <w:spacing w:val="-12"/>
        </w:rPr>
        <w:t>1.2</w:t>
      </w:r>
      <w:r w:rsidRPr="0050327F">
        <w:t>倍。</w:t>
      </w:r>
    </w:p>
    <w:p w:rsidR="00AE529C" w:rsidRDefault="00E9415C">
      <w:pPr>
        <w:pStyle w:val="a4"/>
        <w:numPr>
          <w:ilvl w:val="2"/>
          <w:numId w:val="5"/>
        </w:numPr>
        <w:tabs>
          <w:tab w:val="left" w:pos="1066"/>
        </w:tabs>
        <w:ind w:hanging="525"/>
        <w:rPr>
          <w:sz w:val="21"/>
        </w:rPr>
      </w:pPr>
      <w:r>
        <w:rPr>
          <w:sz w:val="21"/>
        </w:rPr>
        <w:t>银行降息的经济背景及政策意图。（</w:t>
      </w:r>
      <w:r>
        <w:rPr>
          <w:sz w:val="21"/>
        </w:rPr>
        <w:t>8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E9415C">
      <w:pPr>
        <w:pStyle w:val="a4"/>
        <w:numPr>
          <w:ilvl w:val="2"/>
          <w:numId w:val="5"/>
        </w:numPr>
        <w:tabs>
          <w:tab w:val="left" w:pos="1066"/>
        </w:tabs>
        <w:ind w:hanging="525"/>
        <w:rPr>
          <w:sz w:val="21"/>
        </w:rPr>
      </w:pPr>
      <w:r>
        <w:rPr>
          <w:sz w:val="21"/>
        </w:rPr>
        <w:t>利率市场化改革对商业银行的影响。（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AE529C">
      <w:pPr>
        <w:pStyle w:val="a3"/>
        <w:spacing w:before="4"/>
        <w:rPr>
          <w:sz w:val="22"/>
        </w:rPr>
      </w:pPr>
    </w:p>
    <w:p w:rsidR="00AE529C" w:rsidRDefault="00E9415C">
      <w:pPr>
        <w:pStyle w:val="Heading1"/>
        <w:tabs>
          <w:tab w:val="left" w:pos="3909"/>
        </w:tabs>
        <w:spacing w:before="69"/>
        <w:ind w:left="2856"/>
      </w:pPr>
      <w:r>
        <w:t>第二部分</w:t>
      </w:r>
      <w:r>
        <w:tab/>
      </w:r>
      <w:r>
        <w:t>国际金融学（共</w:t>
      </w:r>
      <w:r>
        <w:rPr>
          <w:spacing w:val="-55"/>
        </w:rPr>
        <w:t xml:space="preserve"> </w:t>
      </w:r>
      <w:r>
        <w:t>50</w:t>
      </w:r>
      <w:r>
        <w:rPr>
          <w:spacing w:val="-55"/>
        </w:rPr>
        <w:t xml:space="preserve"> </w:t>
      </w:r>
      <w:r>
        <w:t>分）</w:t>
      </w:r>
    </w:p>
    <w:p w:rsidR="00AE529C" w:rsidRDefault="00E9415C">
      <w:pPr>
        <w:spacing w:before="43"/>
        <w:ind w:left="540"/>
        <w:rPr>
          <w:b/>
          <w:sz w:val="21"/>
        </w:rPr>
      </w:pPr>
      <w:r>
        <w:rPr>
          <w:b/>
          <w:sz w:val="21"/>
        </w:rPr>
        <w:t>一、简答题（共</w:t>
      </w:r>
      <w:r>
        <w:rPr>
          <w:b/>
          <w:sz w:val="21"/>
        </w:rPr>
        <w:t xml:space="preserve"> 20 </w:t>
      </w:r>
      <w:r>
        <w:rPr>
          <w:b/>
          <w:sz w:val="21"/>
        </w:rPr>
        <w:t>分）</w:t>
      </w:r>
    </w:p>
    <w:p w:rsidR="00AE529C" w:rsidRDefault="00E9415C">
      <w:pPr>
        <w:pStyle w:val="a4"/>
        <w:numPr>
          <w:ilvl w:val="0"/>
          <w:numId w:val="4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如何理解内部均衡。（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E9415C">
      <w:pPr>
        <w:pStyle w:val="a4"/>
        <w:numPr>
          <w:ilvl w:val="0"/>
          <w:numId w:val="4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解释名义汇率与人民币实际有效汇率。（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AE529C">
      <w:pPr>
        <w:pStyle w:val="a3"/>
        <w:spacing w:before="9"/>
        <w:rPr>
          <w:sz w:val="27"/>
        </w:rPr>
      </w:pPr>
    </w:p>
    <w:p w:rsidR="00AE529C" w:rsidRDefault="00E9415C">
      <w:pPr>
        <w:pStyle w:val="Heading1"/>
      </w:pPr>
      <w:r>
        <w:t>二、计算题（共</w:t>
      </w:r>
      <w:r>
        <w:t xml:space="preserve"> 12 </w:t>
      </w:r>
      <w:r>
        <w:t>分）</w:t>
      </w:r>
    </w:p>
    <w:p w:rsidR="00AE529C" w:rsidRDefault="00E9415C">
      <w:pPr>
        <w:pStyle w:val="a3"/>
        <w:spacing w:line="278" w:lineRule="auto"/>
        <w:ind w:left="120" w:right="216" w:firstLine="420"/>
        <w:jc w:val="both"/>
      </w:pPr>
      <w:r>
        <w:rPr>
          <w:spacing w:val="-9"/>
        </w:rPr>
        <w:t>中国人民银行</w:t>
      </w:r>
      <w:r>
        <w:rPr>
          <w:spacing w:val="-9"/>
        </w:rPr>
        <w:t xml:space="preserve"> </w:t>
      </w:r>
      <w:r>
        <w:t>15</w:t>
      </w:r>
      <w:r>
        <w:rPr>
          <w:spacing w:val="-12"/>
        </w:rPr>
        <w:t xml:space="preserve"> </w:t>
      </w:r>
      <w:r>
        <w:rPr>
          <w:spacing w:val="-12"/>
        </w:rPr>
        <w:t>日表示，决定扩大外汇市场人民币兑美元汇率浮动幅度，自</w:t>
      </w:r>
      <w:r>
        <w:rPr>
          <w:spacing w:val="-12"/>
        </w:rPr>
        <w:t xml:space="preserve"> </w:t>
      </w:r>
      <w:r>
        <w:t>2014</w:t>
      </w:r>
      <w:r>
        <w:rPr>
          <w:spacing w:val="-38"/>
        </w:rPr>
        <w:t xml:space="preserve"> </w:t>
      </w:r>
      <w:r>
        <w:rPr>
          <w:spacing w:val="-38"/>
        </w:rPr>
        <w:t>年</w:t>
      </w:r>
      <w:r>
        <w:rPr>
          <w:spacing w:val="-38"/>
        </w:rPr>
        <w:t xml:space="preserve"> </w:t>
      </w:r>
      <w:r>
        <w:t xml:space="preserve">3 </w:t>
      </w:r>
      <w:r>
        <w:rPr>
          <w:spacing w:val="-29"/>
        </w:rPr>
        <w:t>月</w:t>
      </w:r>
      <w:r>
        <w:rPr>
          <w:spacing w:val="-29"/>
        </w:rPr>
        <w:t xml:space="preserve"> </w:t>
      </w:r>
      <w:r>
        <w:t>17</w:t>
      </w:r>
      <w:r>
        <w:rPr>
          <w:spacing w:val="-13"/>
        </w:rPr>
        <w:t xml:space="preserve"> </w:t>
      </w:r>
      <w:r>
        <w:rPr>
          <w:spacing w:val="-13"/>
        </w:rPr>
        <w:t>日起，银行间即期外汇市场人民币兑美元交易价浮动幅度由</w:t>
      </w:r>
      <w:r>
        <w:rPr>
          <w:spacing w:val="-13"/>
        </w:rPr>
        <w:t xml:space="preserve"> </w:t>
      </w:r>
      <w:r>
        <w:t>1%</w:t>
      </w:r>
      <w:r>
        <w:rPr>
          <w:spacing w:val="-15"/>
        </w:rPr>
        <w:t>扩大至</w:t>
      </w:r>
      <w:r>
        <w:rPr>
          <w:spacing w:val="-15"/>
        </w:rPr>
        <w:t xml:space="preserve"> </w:t>
      </w:r>
      <w:r>
        <w:t>2%</w:t>
      </w:r>
      <w:r>
        <w:rPr>
          <w:spacing w:val="-9"/>
        </w:rPr>
        <w:t>。之后给了一</w:t>
      </w:r>
      <w:r>
        <w:rPr>
          <w:spacing w:val="-30"/>
        </w:rPr>
        <w:t>份</w:t>
      </w:r>
      <w:r>
        <w:rPr>
          <w:spacing w:val="-30"/>
        </w:rPr>
        <w:t xml:space="preserve"> </w:t>
      </w:r>
      <w:r>
        <w:t>11</w:t>
      </w:r>
      <w:r>
        <w:rPr>
          <w:spacing w:val="-34"/>
        </w:rPr>
        <w:t xml:space="preserve"> </w:t>
      </w:r>
      <w:r>
        <w:rPr>
          <w:spacing w:val="-34"/>
        </w:rPr>
        <w:t>月</w:t>
      </w:r>
      <w:r>
        <w:rPr>
          <w:spacing w:val="-34"/>
        </w:rPr>
        <w:t xml:space="preserve"> </w:t>
      </w:r>
      <w:r>
        <w:t>24</w:t>
      </w:r>
      <w:r>
        <w:rPr>
          <w:spacing w:val="-6"/>
        </w:rPr>
        <w:t xml:space="preserve"> </w:t>
      </w:r>
      <w:r>
        <w:rPr>
          <w:spacing w:val="-6"/>
        </w:rPr>
        <w:t>日的汇率，中间价是</w:t>
      </w:r>
      <w:r>
        <w:t>$1=</w:t>
      </w:r>
      <w:r>
        <w:t>￥</w:t>
      </w:r>
      <w:r>
        <w:t>6.1384</w:t>
      </w:r>
      <w:r>
        <w:rPr>
          <w:spacing w:val="-4"/>
        </w:rPr>
        <w:t>，又给出了当日的汇兑最高价</w:t>
      </w:r>
      <w:r>
        <w:rPr>
          <w:spacing w:val="-4"/>
        </w:rPr>
        <w:t xml:space="preserve"> </w:t>
      </w:r>
      <w:r>
        <w:t>A</w:t>
      </w:r>
      <w:r>
        <w:rPr>
          <w:spacing w:val="-17"/>
        </w:rPr>
        <w:t xml:space="preserve"> </w:t>
      </w:r>
      <w:r>
        <w:rPr>
          <w:spacing w:val="-17"/>
        </w:rPr>
        <w:t>和最低价</w:t>
      </w:r>
      <w:r>
        <w:rPr>
          <w:spacing w:val="-17"/>
        </w:rPr>
        <w:t xml:space="preserve"> </w:t>
      </w:r>
      <w:r>
        <w:rPr>
          <w:spacing w:val="3"/>
        </w:rPr>
        <w:t>B</w:t>
      </w:r>
      <w:r>
        <w:t>。</w:t>
      </w:r>
    </w:p>
    <w:p w:rsidR="00AE529C" w:rsidRDefault="00E9415C">
      <w:pPr>
        <w:pStyle w:val="a3"/>
        <w:spacing w:before="0" w:line="269" w:lineRule="exact"/>
        <w:ind w:left="120"/>
      </w:pPr>
      <w:r>
        <w:t>（具体数字记不清了）</w:t>
      </w:r>
    </w:p>
    <w:p w:rsidR="00AE529C" w:rsidRDefault="00E9415C">
      <w:pPr>
        <w:pStyle w:val="a4"/>
        <w:numPr>
          <w:ilvl w:val="0"/>
          <w:numId w:val="3"/>
        </w:numPr>
        <w:tabs>
          <w:tab w:val="left" w:pos="1065"/>
        </w:tabs>
        <w:ind w:hanging="524"/>
        <w:rPr>
          <w:sz w:val="21"/>
        </w:rPr>
      </w:pPr>
      <w:r>
        <w:rPr>
          <w:sz w:val="21"/>
        </w:rPr>
        <w:t>计算人民币当日波动幅度。（</w:t>
      </w:r>
      <w:r>
        <w:rPr>
          <w:sz w:val="21"/>
        </w:rPr>
        <w:t>6</w:t>
      </w:r>
      <w:r>
        <w:rPr>
          <w:spacing w:val="-31"/>
          <w:sz w:val="21"/>
        </w:rPr>
        <w:t xml:space="preserve"> </w:t>
      </w:r>
      <w:r>
        <w:rPr>
          <w:spacing w:val="-31"/>
          <w:sz w:val="21"/>
        </w:rPr>
        <w:t>分</w:t>
      </w:r>
      <w:r>
        <w:rPr>
          <w:sz w:val="21"/>
        </w:rPr>
        <w:t>）</w:t>
      </w:r>
    </w:p>
    <w:p w:rsidR="00AE529C" w:rsidRDefault="00E9415C">
      <w:pPr>
        <w:pStyle w:val="a4"/>
        <w:numPr>
          <w:ilvl w:val="0"/>
          <w:numId w:val="3"/>
        </w:numPr>
        <w:tabs>
          <w:tab w:val="left" w:pos="1065"/>
        </w:tabs>
        <w:ind w:hanging="524"/>
        <w:rPr>
          <w:sz w:val="21"/>
        </w:rPr>
      </w:pPr>
      <w:r>
        <w:rPr>
          <w:sz w:val="21"/>
        </w:rPr>
        <w:t>计算人民币当日波动区间。（</w:t>
      </w:r>
      <w:r>
        <w:rPr>
          <w:sz w:val="21"/>
        </w:rPr>
        <w:t>6</w:t>
      </w:r>
      <w:r>
        <w:rPr>
          <w:spacing w:val="-31"/>
          <w:sz w:val="21"/>
        </w:rPr>
        <w:t xml:space="preserve"> </w:t>
      </w:r>
      <w:r>
        <w:rPr>
          <w:spacing w:val="-31"/>
          <w:sz w:val="21"/>
        </w:rPr>
        <w:t>分</w:t>
      </w:r>
      <w:r>
        <w:rPr>
          <w:sz w:val="21"/>
        </w:rPr>
        <w:t>）</w:t>
      </w:r>
    </w:p>
    <w:p w:rsidR="00AE529C" w:rsidRDefault="00AE529C">
      <w:pPr>
        <w:pStyle w:val="a3"/>
        <w:spacing w:before="9"/>
        <w:rPr>
          <w:sz w:val="27"/>
        </w:rPr>
      </w:pPr>
    </w:p>
    <w:p w:rsidR="00AE529C" w:rsidRDefault="00E9415C">
      <w:pPr>
        <w:spacing w:line="278" w:lineRule="auto"/>
        <w:ind w:left="540" w:right="5586"/>
        <w:rPr>
          <w:sz w:val="21"/>
        </w:rPr>
      </w:pPr>
      <w:r>
        <w:rPr>
          <w:b/>
          <w:sz w:val="21"/>
        </w:rPr>
        <w:t>三、论述题（</w:t>
      </w:r>
      <w:r>
        <w:rPr>
          <w:b/>
          <w:spacing w:val="-2"/>
          <w:sz w:val="21"/>
        </w:rPr>
        <w:t>共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18</w:t>
      </w:r>
      <w:r>
        <w:rPr>
          <w:b/>
          <w:spacing w:val="-2"/>
          <w:sz w:val="21"/>
        </w:rPr>
        <w:t xml:space="preserve"> </w:t>
      </w:r>
      <w:r>
        <w:rPr>
          <w:b/>
          <w:spacing w:val="-2"/>
          <w:sz w:val="21"/>
        </w:rPr>
        <w:t>分</w:t>
      </w:r>
      <w:r>
        <w:rPr>
          <w:b/>
          <w:sz w:val="21"/>
        </w:rPr>
        <w:t>）</w:t>
      </w:r>
      <w:r>
        <w:rPr>
          <w:b/>
          <w:sz w:val="21"/>
        </w:rPr>
        <w:t xml:space="preserve"> </w:t>
      </w:r>
      <w:r>
        <w:rPr>
          <w:spacing w:val="-1"/>
          <w:sz w:val="21"/>
        </w:rPr>
        <w:t>影响国际储备规模的因素。</w:t>
      </w:r>
    </w:p>
    <w:p w:rsidR="00AE529C" w:rsidRDefault="00AE529C">
      <w:pPr>
        <w:pStyle w:val="a3"/>
        <w:spacing w:before="11"/>
        <w:rPr>
          <w:sz w:val="18"/>
        </w:rPr>
      </w:pPr>
    </w:p>
    <w:p w:rsidR="00AE529C" w:rsidRDefault="00E9415C">
      <w:pPr>
        <w:pStyle w:val="Heading1"/>
        <w:tabs>
          <w:tab w:val="left" w:pos="3909"/>
        </w:tabs>
        <w:spacing w:before="70"/>
        <w:ind w:left="2856"/>
      </w:pPr>
      <w:r>
        <w:t>第三部分</w:t>
      </w:r>
      <w:r>
        <w:tab/>
      </w:r>
      <w:r>
        <w:t>证券投资学（共</w:t>
      </w:r>
      <w:r>
        <w:rPr>
          <w:spacing w:val="-55"/>
        </w:rPr>
        <w:t xml:space="preserve"> </w:t>
      </w:r>
      <w:r>
        <w:t>50</w:t>
      </w:r>
      <w:r>
        <w:rPr>
          <w:spacing w:val="-55"/>
        </w:rPr>
        <w:t xml:space="preserve"> </w:t>
      </w:r>
      <w:r>
        <w:t>分）</w:t>
      </w:r>
    </w:p>
    <w:p w:rsidR="00AE529C" w:rsidRDefault="00E9415C">
      <w:pPr>
        <w:spacing w:before="43"/>
        <w:ind w:left="540"/>
        <w:rPr>
          <w:b/>
          <w:sz w:val="21"/>
        </w:rPr>
      </w:pPr>
      <w:r>
        <w:rPr>
          <w:b/>
          <w:sz w:val="21"/>
        </w:rPr>
        <w:t>一、简答题（共</w:t>
      </w:r>
      <w:r>
        <w:rPr>
          <w:b/>
          <w:sz w:val="21"/>
        </w:rPr>
        <w:t xml:space="preserve"> 20 </w:t>
      </w:r>
      <w:r>
        <w:rPr>
          <w:b/>
          <w:sz w:val="21"/>
        </w:rPr>
        <w:t>分）</w:t>
      </w:r>
    </w:p>
    <w:p w:rsidR="00AE529C" w:rsidRDefault="00E9415C">
      <w:pPr>
        <w:pStyle w:val="a4"/>
        <w:numPr>
          <w:ilvl w:val="0"/>
          <w:numId w:val="2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为什么系统性风险难以避免？（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E9415C">
      <w:pPr>
        <w:pStyle w:val="a4"/>
        <w:numPr>
          <w:ilvl w:val="0"/>
          <w:numId w:val="2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普通股和优先股各有什么权利？（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AE529C">
      <w:pPr>
        <w:pStyle w:val="a3"/>
        <w:spacing w:before="9"/>
        <w:rPr>
          <w:sz w:val="27"/>
        </w:rPr>
      </w:pPr>
    </w:p>
    <w:p w:rsidR="00AE529C" w:rsidRDefault="00E9415C">
      <w:pPr>
        <w:pStyle w:val="Heading1"/>
      </w:pPr>
      <w:r>
        <w:t>二、论述题（共</w:t>
      </w:r>
      <w:r>
        <w:t xml:space="preserve"> 30 </w:t>
      </w:r>
      <w:r>
        <w:t>分）</w:t>
      </w:r>
    </w:p>
    <w:p w:rsidR="00AE529C" w:rsidRDefault="00E9415C">
      <w:pPr>
        <w:pStyle w:val="a4"/>
        <w:numPr>
          <w:ilvl w:val="0"/>
          <w:numId w:val="1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影响债券市场行市的因素。（</w:t>
      </w:r>
      <w:r>
        <w:rPr>
          <w:sz w:val="21"/>
        </w:rPr>
        <w:t>15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E9415C">
      <w:pPr>
        <w:pStyle w:val="a4"/>
        <w:numPr>
          <w:ilvl w:val="0"/>
          <w:numId w:val="1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证券投资基本分析都包括哪些方面？（</w:t>
      </w:r>
      <w:r>
        <w:rPr>
          <w:sz w:val="21"/>
        </w:rPr>
        <w:t>15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E529C" w:rsidRDefault="00AE529C">
      <w:pPr>
        <w:pStyle w:val="a3"/>
        <w:spacing w:before="0"/>
        <w:rPr>
          <w:sz w:val="20"/>
        </w:rPr>
      </w:pPr>
    </w:p>
    <w:p w:rsidR="00AE529C" w:rsidRDefault="00AE529C">
      <w:pPr>
        <w:pStyle w:val="a3"/>
        <w:spacing w:before="0"/>
        <w:rPr>
          <w:sz w:val="20"/>
        </w:rPr>
      </w:pPr>
    </w:p>
    <w:p w:rsidR="00AE529C" w:rsidRDefault="00AE529C">
      <w:pPr>
        <w:pStyle w:val="a3"/>
        <w:spacing w:before="11"/>
      </w:pPr>
    </w:p>
    <w:p w:rsidR="00AE529C" w:rsidRDefault="00E9415C">
      <w:pPr>
        <w:spacing w:before="64"/>
        <w:ind w:right="99"/>
        <w:jc w:val="center"/>
        <w:rPr>
          <w:rFonts w:ascii="Calibri"/>
          <w:sz w:val="18"/>
        </w:rPr>
      </w:pPr>
      <w:r>
        <w:rPr>
          <w:rFonts w:ascii="Calibri"/>
          <w:sz w:val="18"/>
        </w:rPr>
        <w:t>1</w:t>
      </w:r>
    </w:p>
    <w:sectPr w:rsidR="00AE529C" w:rsidSect="00AE529C">
      <w:type w:val="continuous"/>
      <w:pgSz w:w="11910" w:h="16840"/>
      <w:pgMar w:top="600" w:right="1580" w:bottom="280" w:left="16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415C" w:rsidRDefault="00E9415C" w:rsidP="00013F3D">
      <w:r>
        <w:separator/>
      </w:r>
    </w:p>
  </w:endnote>
  <w:endnote w:type="continuationSeparator" w:id="1">
    <w:p w:rsidR="00E9415C" w:rsidRDefault="00E9415C" w:rsidP="00013F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415C" w:rsidRDefault="00E9415C" w:rsidP="00013F3D">
      <w:r>
        <w:separator/>
      </w:r>
    </w:p>
  </w:footnote>
  <w:footnote w:type="continuationSeparator" w:id="1">
    <w:p w:rsidR="00E9415C" w:rsidRDefault="00E9415C" w:rsidP="00013F3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63331"/>
    <w:multiLevelType w:val="hybridMultilevel"/>
    <w:tmpl w:val="427E66B6"/>
    <w:lvl w:ilvl="0" w:tplc="ED4C3346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6C4060E2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39FAB796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7DCC8598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8B108600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4AEC98E4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0BFE740C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8E5266DC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5B72BF6E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1">
    <w:nsid w:val="169B7513"/>
    <w:multiLevelType w:val="hybridMultilevel"/>
    <w:tmpl w:val="6E3EA25E"/>
    <w:lvl w:ilvl="0" w:tplc="A280AF5E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29CA6D80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21F28D08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0E5C1AF0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EED61A90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67F80656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760652BE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DCEA8A66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0B7CFDF8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2">
    <w:nsid w:val="170D01CC"/>
    <w:multiLevelType w:val="hybridMultilevel"/>
    <w:tmpl w:val="4D04F774"/>
    <w:lvl w:ilvl="0" w:tplc="D0A61814">
      <w:start w:val="1"/>
      <w:numFmt w:val="decimal"/>
      <w:lvlText w:val="（%1）"/>
      <w:lvlJc w:val="left"/>
      <w:pPr>
        <w:ind w:left="1064" w:hanging="525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0A769858">
      <w:numFmt w:val="bullet"/>
      <w:lvlText w:val="•"/>
      <w:lvlJc w:val="left"/>
      <w:pPr>
        <w:ind w:left="1818" w:hanging="525"/>
      </w:pPr>
      <w:rPr>
        <w:rFonts w:hint="default"/>
        <w:lang w:val="zh-CN" w:eastAsia="zh-CN" w:bidi="zh-CN"/>
      </w:rPr>
    </w:lvl>
    <w:lvl w:ilvl="2" w:tplc="D6DE8348">
      <w:numFmt w:val="bullet"/>
      <w:lvlText w:val="•"/>
      <w:lvlJc w:val="left"/>
      <w:pPr>
        <w:ind w:left="2577" w:hanging="525"/>
      </w:pPr>
      <w:rPr>
        <w:rFonts w:hint="default"/>
        <w:lang w:val="zh-CN" w:eastAsia="zh-CN" w:bidi="zh-CN"/>
      </w:rPr>
    </w:lvl>
    <w:lvl w:ilvl="3" w:tplc="D690E3FC">
      <w:numFmt w:val="bullet"/>
      <w:lvlText w:val="•"/>
      <w:lvlJc w:val="left"/>
      <w:pPr>
        <w:ind w:left="3335" w:hanging="525"/>
      </w:pPr>
      <w:rPr>
        <w:rFonts w:hint="default"/>
        <w:lang w:val="zh-CN" w:eastAsia="zh-CN" w:bidi="zh-CN"/>
      </w:rPr>
    </w:lvl>
    <w:lvl w:ilvl="4" w:tplc="D55CB382">
      <w:numFmt w:val="bullet"/>
      <w:lvlText w:val="•"/>
      <w:lvlJc w:val="left"/>
      <w:pPr>
        <w:ind w:left="4094" w:hanging="525"/>
      </w:pPr>
      <w:rPr>
        <w:rFonts w:hint="default"/>
        <w:lang w:val="zh-CN" w:eastAsia="zh-CN" w:bidi="zh-CN"/>
      </w:rPr>
    </w:lvl>
    <w:lvl w:ilvl="5" w:tplc="007E6212">
      <w:numFmt w:val="bullet"/>
      <w:lvlText w:val="•"/>
      <w:lvlJc w:val="left"/>
      <w:pPr>
        <w:ind w:left="4853" w:hanging="525"/>
      </w:pPr>
      <w:rPr>
        <w:rFonts w:hint="default"/>
        <w:lang w:val="zh-CN" w:eastAsia="zh-CN" w:bidi="zh-CN"/>
      </w:rPr>
    </w:lvl>
    <w:lvl w:ilvl="6" w:tplc="D3307038">
      <w:numFmt w:val="bullet"/>
      <w:lvlText w:val="•"/>
      <w:lvlJc w:val="left"/>
      <w:pPr>
        <w:ind w:left="5611" w:hanging="525"/>
      </w:pPr>
      <w:rPr>
        <w:rFonts w:hint="default"/>
        <w:lang w:val="zh-CN" w:eastAsia="zh-CN" w:bidi="zh-CN"/>
      </w:rPr>
    </w:lvl>
    <w:lvl w:ilvl="7" w:tplc="B0DA2C90">
      <w:numFmt w:val="bullet"/>
      <w:lvlText w:val="•"/>
      <w:lvlJc w:val="left"/>
      <w:pPr>
        <w:ind w:left="6370" w:hanging="525"/>
      </w:pPr>
      <w:rPr>
        <w:rFonts w:hint="default"/>
        <w:lang w:val="zh-CN" w:eastAsia="zh-CN" w:bidi="zh-CN"/>
      </w:rPr>
    </w:lvl>
    <w:lvl w:ilvl="8" w:tplc="06B6EA96">
      <w:numFmt w:val="bullet"/>
      <w:lvlText w:val="•"/>
      <w:lvlJc w:val="left"/>
      <w:pPr>
        <w:ind w:left="7128" w:hanging="525"/>
      </w:pPr>
      <w:rPr>
        <w:rFonts w:hint="default"/>
        <w:lang w:val="zh-CN" w:eastAsia="zh-CN" w:bidi="zh-CN"/>
      </w:rPr>
    </w:lvl>
  </w:abstractNum>
  <w:abstractNum w:abstractNumId="3">
    <w:nsid w:val="363D109B"/>
    <w:multiLevelType w:val="hybridMultilevel"/>
    <w:tmpl w:val="7BBC483C"/>
    <w:lvl w:ilvl="0" w:tplc="94400148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82E638AE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D69A7DE8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C8D4138E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B408143A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558A0752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355C6DA2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7C8EEC16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D0107BF0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4">
    <w:nsid w:val="408E5256"/>
    <w:multiLevelType w:val="hybridMultilevel"/>
    <w:tmpl w:val="E12CDB56"/>
    <w:lvl w:ilvl="0" w:tplc="282444E8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FCDC180C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0728FBC8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F0905A1C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564C019E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5B3454E6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73B09800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E0222CE8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0AC20CB0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5">
    <w:nsid w:val="50BD2CB2"/>
    <w:multiLevelType w:val="hybridMultilevel"/>
    <w:tmpl w:val="C8DE6D24"/>
    <w:lvl w:ilvl="0" w:tplc="5764FEC6">
      <w:start w:val="1"/>
      <w:numFmt w:val="decimal"/>
      <w:lvlText w:val="%1"/>
      <w:lvlJc w:val="left"/>
      <w:pPr>
        <w:ind w:left="487" w:hanging="368"/>
        <w:jc w:val="left"/>
      </w:pPr>
      <w:rPr>
        <w:rFonts w:hint="default"/>
        <w:lang w:val="zh-CN" w:eastAsia="zh-CN" w:bidi="zh-CN"/>
      </w:rPr>
    </w:lvl>
    <w:lvl w:ilvl="1" w:tplc="B3684CF0">
      <w:numFmt w:val="none"/>
      <w:lvlText w:val=""/>
      <w:lvlJc w:val="left"/>
      <w:pPr>
        <w:tabs>
          <w:tab w:val="num" w:pos="360"/>
        </w:tabs>
      </w:pPr>
    </w:lvl>
    <w:lvl w:ilvl="2" w:tplc="2822E9F8">
      <w:start w:val="1"/>
      <w:numFmt w:val="decimal"/>
      <w:lvlText w:val="（%3）"/>
      <w:lvlJc w:val="left"/>
      <w:pPr>
        <w:ind w:left="1065" w:hanging="52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3" w:tplc="62746A24">
      <w:numFmt w:val="bullet"/>
      <w:lvlText w:val="•"/>
      <w:lvlJc w:val="left"/>
      <w:pPr>
        <w:ind w:left="2745" w:hanging="526"/>
      </w:pPr>
      <w:rPr>
        <w:rFonts w:hint="default"/>
        <w:lang w:val="zh-CN" w:eastAsia="zh-CN" w:bidi="zh-CN"/>
      </w:rPr>
    </w:lvl>
    <w:lvl w:ilvl="4" w:tplc="4566C6BE">
      <w:numFmt w:val="bullet"/>
      <w:lvlText w:val="•"/>
      <w:lvlJc w:val="left"/>
      <w:pPr>
        <w:ind w:left="3588" w:hanging="526"/>
      </w:pPr>
      <w:rPr>
        <w:rFonts w:hint="default"/>
        <w:lang w:val="zh-CN" w:eastAsia="zh-CN" w:bidi="zh-CN"/>
      </w:rPr>
    </w:lvl>
    <w:lvl w:ilvl="5" w:tplc="F06E5208">
      <w:numFmt w:val="bullet"/>
      <w:lvlText w:val="•"/>
      <w:lvlJc w:val="left"/>
      <w:pPr>
        <w:ind w:left="4431" w:hanging="526"/>
      </w:pPr>
      <w:rPr>
        <w:rFonts w:hint="default"/>
        <w:lang w:val="zh-CN" w:eastAsia="zh-CN" w:bidi="zh-CN"/>
      </w:rPr>
    </w:lvl>
    <w:lvl w:ilvl="6" w:tplc="67405CA4">
      <w:numFmt w:val="bullet"/>
      <w:lvlText w:val="•"/>
      <w:lvlJc w:val="left"/>
      <w:pPr>
        <w:ind w:left="5274" w:hanging="526"/>
      </w:pPr>
      <w:rPr>
        <w:rFonts w:hint="default"/>
        <w:lang w:val="zh-CN" w:eastAsia="zh-CN" w:bidi="zh-CN"/>
      </w:rPr>
    </w:lvl>
    <w:lvl w:ilvl="7" w:tplc="6116E674">
      <w:numFmt w:val="bullet"/>
      <w:lvlText w:val="•"/>
      <w:lvlJc w:val="left"/>
      <w:pPr>
        <w:ind w:left="6117" w:hanging="526"/>
      </w:pPr>
      <w:rPr>
        <w:rFonts w:hint="default"/>
        <w:lang w:val="zh-CN" w:eastAsia="zh-CN" w:bidi="zh-CN"/>
      </w:rPr>
    </w:lvl>
    <w:lvl w:ilvl="8" w:tplc="8D9CFDA6">
      <w:numFmt w:val="bullet"/>
      <w:lvlText w:val="•"/>
      <w:lvlJc w:val="left"/>
      <w:pPr>
        <w:ind w:left="6960" w:hanging="526"/>
      </w:pPr>
      <w:rPr>
        <w:rFonts w:hint="default"/>
        <w:lang w:val="zh-CN" w:eastAsia="zh-CN" w:bidi="zh-C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ulTrailSpace/>
    <w:useFELayout/>
  </w:compat>
  <w:rsids>
    <w:rsidRoot w:val="00AE529C"/>
    <w:rsid w:val="00013F3D"/>
    <w:rsid w:val="0050327F"/>
    <w:rsid w:val="006752B5"/>
    <w:rsid w:val="00AE529C"/>
    <w:rsid w:val="00E941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E529C"/>
    <w:rPr>
      <w:rFonts w:ascii="宋体" w:eastAsia="宋体" w:hAnsi="宋体" w:cs="宋体"/>
      <w:lang w:val="zh-CN" w:eastAsia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E529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E529C"/>
    <w:pPr>
      <w:spacing w:before="43"/>
    </w:pPr>
    <w:rPr>
      <w:sz w:val="21"/>
      <w:szCs w:val="21"/>
    </w:rPr>
  </w:style>
  <w:style w:type="paragraph" w:customStyle="1" w:styleId="Heading1">
    <w:name w:val="Heading 1"/>
    <w:basedOn w:val="a"/>
    <w:uiPriority w:val="1"/>
    <w:qFormat/>
    <w:rsid w:val="00AE529C"/>
    <w:pPr>
      <w:ind w:left="540"/>
      <w:outlineLvl w:val="1"/>
    </w:pPr>
    <w:rPr>
      <w:b/>
      <w:bCs/>
      <w:sz w:val="21"/>
      <w:szCs w:val="21"/>
    </w:rPr>
  </w:style>
  <w:style w:type="paragraph" w:styleId="a4">
    <w:name w:val="List Paragraph"/>
    <w:basedOn w:val="a"/>
    <w:uiPriority w:val="1"/>
    <w:qFormat/>
    <w:rsid w:val="00AE529C"/>
    <w:pPr>
      <w:spacing w:before="43"/>
      <w:ind w:left="855" w:hanging="315"/>
    </w:pPr>
  </w:style>
  <w:style w:type="paragraph" w:customStyle="1" w:styleId="TableParagraph">
    <w:name w:val="Table Paragraph"/>
    <w:basedOn w:val="a"/>
    <w:uiPriority w:val="1"/>
    <w:qFormat/>
    <w:rsid w:val="00AE529C"/>
  </w:style>
  <w:style w:type="paragraph" w:styleId="a5">
    <w:name w:val="header"/>
    <w:basedOn w:val="a"/>
    <w:link w:val="Char"/>
    <w:uiPriority w:val="99"/>
    <w:semiHidden/>
    <w:unhideWhenUsed/>
    <w:rsid w:val="00013F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013F3D"/>
    <w:rPr>
      <w:rFonts w:ascii="宋体" w:eastAsia="宋体" w:hAnsi="宋体" w:cs="宋体"/>
      <w:sz w:val="18"/>
      <w:szCs w:val="18"/>
      <w:lang w:val="zh-CN" w:eastAsia="zh-CN" w:bidi="zh-CN"/>
    </w:rPr>
  </w:style>
  <w:style w:type="paragraph" w:styleId="a6">
    <w:name w:val="footer"/>
    <w:basedOn w:val="a"/>
    <w:link w:val="Char0"/>
    <w:uiPriority w:val="99"/>
    <w:semiHidden/>
    <w:unhideWhenUsed/>
    <w:rsid w:val="00013F3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013F3D"/>
    <w:rPr>
      <w:rFonts w:ascii="宋体" w:eastAsia="宋体" w:hAnsi="宋体" w:cs="宋体"/>
      <w:sz w:val="18"/>
      <w:szCs w:val="18"/>
      <w:lang w:val="zh-CN" w:eastAsia="zh-CN" w:bidi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120</Words>
  <Characters>689</Characters>
  <Application>Microsoft Office Word</Application>
  <DocSecurity>0</DocSecurity>
  <Lines>5</Lines>
  <Paragraphs>1</Paragraphs>
  <ScaleCrop>false</ScaleCrop>
  <Company>Microsoft</Company>
  <LinksUpToDate>false</LinksUpToDate>
  <CharactersWithSpaces>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Tsinghua</cp:lastModifiedBy>
  <cp:revision>5</cp:revision>
  <dcterms:created xsi:type="dcterms:W3CDTF">2020-04-23T09:54:00Z</dcterms:created>
  <dcterms:modified xsi:type="dcterms:W3CDTF">2020-04-23T10:02:00Z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2017-09-08T00:00:00Z</vt:filetime>
  </property>
  <property fmtid="{D5CDD505-2E9C-101B-9397-08002B2CF9AE}" pid="3" name="Creator">
    <vt:lpwstr>WPS Office</vt:lpwstr>
  </property>
  <property fmtid="{D5CDD505-2E9C-101B-9397-08002B2CF9AE}" pid="4" name="LastSaved">
    <vt:filetime>2020-04-23T00:00:00Z</vt:filetime>
  </property>
</Properties>
</file>