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7303" w:rsidRDefault="00A47303">
      <w:pPr>
        <w:pStyle w:val="a3"/>
        <w:spacing w:before="0"/>
        <w:ind w:left="112" w:firstLine="0"/>
        <w:rPr>
          <w:rFonts w:ascii="Times New Roman"/>
          <w:sz w:val="20"/>
        </w:rPr>
      </w:pPr>
    </w:p>
    <w:p w:rsidR="00A47303" w:rsidRDefault="00A47303">
      <w:pPr>
        <w:pStyle w:val="Heading1"/>
        <w:spacing w:line="254" w:lineRule="exact"/>
      </w:pPr>
      <w:r w:rsidRPr="00A47303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left:0;text-align:left;margin-left:295.3pt;margin-top:-30.85pt;width:4.6pt;height:9pt;z-index:-5776;mso-position-horizontal-relative:page" filled="f" stroked="f">
            <v:textbox inset="0,0,0,0">
              <w:txbxContent>
                <w:p w:rsidR="00A47303" w:rsidRDefault="00A47303">
                  <w:pPr>
                    <w:spacing w:line="180" w:lineRule="exact"/>
                    <w:rPr>
                      <w:rFonts w:ascii="Calibri"/>
                      <w:sz w:val="18"/>
                    </w:rPr>
                  </w:pPr>
                </w:p>
              </w:txbxContent>
            </v:textbox>
            <w10:wrap anchorx="page"/>
          </v:shape>
        </w:pict>
      </w:r>
      <w:r w:rsidR="002877EE">
        <w:t xml:space="preserve">2011 </w:t>
      </w:r>
      <w:r w:rsidR="002877EE">
        <w:t>年东北财经大学</w:t>
      </w:r>
      <w:r w:rsidR="002877EE">
        <w:t xml:space="preserve"> 431 </w:t>
      </w:r>
      <w:r w:rsidR="002877EE">
        <w:t>金融学综合考研真题</w:t>
      </w:r>
    </w:p>
    <w:p w:rsidR="00A47303" w:rsidRDefault="00A47303">
      <w:pPr>
        <w:pStyle w:val="a3"/>
        <w:spacing w:before="3"/>
        <w:ind w:left="0" w:firstLine="0"/>
        <w:rPr>
          <w:b/>
          <w:sz w:val="22"/>
        </w:rPr>
      </w:pPr>
    </w:p>
    <w:p w:rsidR="00A47303" w:rsidRDefault="002877EE">
      <w:pPr>
        <w:spacing w:before="70"/>
        <w:ind w:left="2906"/>
        <w:rPr>
          <w:b/>
          <w:sz w:val="21"/>
        </w:rPr>
      </w:pPr>
      <w:r>
        <w:rPr>
          <w:b/>
          <w:sz w:val="21"/>
        </w:rPr>
        <w:t>第一部分</w:t>
      </w:r>
      <w:r>
        <w:rPr>
          <w:b/>
          <w:sz w:val="21"/>
        </w:rPr>
        <w:t xml:space="preserve"> </w:t>
      </w:r>
      <w:r>
        <w:rPr>
          <w:b/>
          <w:sz w:val="21"/>
        </w:rPr>
        <w:t>货币银行学（共</w:t>
      </w:r>
      <w:r>
        <w:rPr>
          <w:b/>
          <w:sz w:val="21"/>
        </w:rPr>
        <w:t xml:space="preserve"> 60 </w:t>
      </w:r>
      <w:r>
        <w:rPr>
          <w:b/>
          <w:sz w:val="21"/>
        </w:rPr>
        <w:t>分）</w:t>
      </w:r>
    </w:p>
    <w:p w:rsidR="00A47303" w:rsidRDefault="002877EE">
      <w:pPr>
        <w:spacing w:before="43"/>
        <w:ind w:left="540"/>
        <w:rPr>
          <w:sz w:val="21"/>
        </w:rPr>
      </w:pPr>
      <w:r>
        <w:rPr>
          <w:b/>
          <w:sz w:val="21"/>
        </w:rPr>
        <w:t>一、简答题</w:t>
      </w:r>
      <w:r>
        <w:rPr>
          <w:sz w:val="21"/>
        </w:rPr>
        <w:t>（共</w:t>
      </w:r>
      <w:r>
        <w:rPr>
          <w:sz w:val="21"/>
        </w:rPr>
        <w:t xml:space="preserve"> 20 </w:t>
      </w:r>
      <w:r>
        <w:rPr>
          <w:sz w:val="21"/>
        </w:rPr>
        <w:t>分）</w:t>
      </w:r>
    </w:p>
    <w:p w:rsidR="00A47303" w:rsidRDefault="002877EE">
      <w:pPr>
        <w:pStyle w:val="a4"/>
        <w:numPr>
          <w:ilvl w:val="0"/>
          <w:numId w:val="9"/>
        </w:numPr>
        <w:tabs>
          <w:tab w:val="left" w:pos="856"/>
        </w:tabs>
        <w:ind w:hanging="315"/>
        <w:rPr>
          <w:sz w:val="21"/>
        </w:rPr>
      </w:pPr>
      <w:r>
        <w:rPr>
          <w:spacing w:val="-11"/>
          <w:sz w:val="21"/>
        </w:rPr>
        <w:t>简述中央银行的职能。</w:t>
      </w:r>
      <w:r>
        <w:rPr>
          <w:sz w:val="21"/>
        </w:rPr>
        <w:t>（</w:t>
      </w:r>
      <w:r>
        <w:rPr>
          <w:sz w:val="21"/>
        </w:rPr>
        <w:t>6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9"/>
        </w:numPr>
        <w:tabs>
          <w:tab w:val="left" w:pos="856"/>
        </w:tabs>
        <w:ind w:hanging="315"/>
        <w:rPr>
          <w:sz w:val="21"/>
        </w:rPr>
      </w:pPr>
      <w:r>
        <w:rPr>
          <w:spacing w:val="-8"/>
          <w:sz w:val="21"/>
        </w:rPr>
        <w:t>简述凯恩斯的货币需求理论。</w:t>
      </w:r>
      <w:r>
        <w:rPr>
          <w:sz w:val="21"/>
        </w:rPr>
        <w:t>（</w:t>
      </w:r>
      <w:r>
        <w:rPr>
          <w:sz w:val="21"/>
        </w:rPr>
        <w:t>8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分</w:t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9"/>
        </w:numPr>
        <w:tabs>
          <w:tab w:val="left" w:pos="856"/>
        </w:tabs>
        <w:ind w:hanging="315"/>
        <w:rPr>
          <w:sz w:val="21"/>
        </w:rPr>
      </w:pPr>
      <w:r>
        <w:rPr>
          <w:spacing w:val="-6"/>
          <w:sz w:val="21"/>
        </w:rPr>
        <w:t>简述中央银行货币政策中介目标选择的标准。</w:t>
      </w:r>
      <w:r>
        <w:rPr>
          <w:sz w:val="21"/>
        </w:rPr>
        <w:t>（</w:t>
      </w:r>
      <w:r>
        <w:rPr>
          <w:sz w:val="21"/>
        </w:rPr>
        <w:t>6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47303" w:rsidRDefault="00A47303">
      <w:pPr>
        <w:pStyle w:val="a3"/>
        <w:spacing w:before="8"/>
        <w:ind w:left="0" w:firstLine="0"/>
        <w:rPr>
          <w:sz w:val="27"/>
        </w:rPr>
      </w:pPr>
    </w:p>
    <w:p w:rsidR="00A47303" w:rsidRDefault="002877EE">
      <w:pPr>
        <w:spacing w:before="1"/>
        <w:ind w:left="540"/>
        <w:rPr>
          <w:sz w:val="21"/>
        </w:rPr>
      </w:pPr>
      <w:r>
        <w:rPr>
          <w:b/>
          <w:sz w:val="21"/>
        </w:rPr>
        <w:t>二、时事分析题</w:t>
      </w:r>
      <w:r>
        <w:rPr>
          <w:sz w:val="21"/>
        </w:rPr>
        <w:t>（共</w:t>
      </w:r>
      <w:r>
        <w:rPr>
          <w:sz w:val="21"/>
        </w:rPr>
        <w:t xml:space="preserve"> 15 </w:t>
      </w:r>
      <w:r>
        <w:rPr>
          <w:sz w:val="21"/>
        </w:rPr>
        <w:t>分）</w:t>
      </w:r>
    </w:p>
    <w:p w:rsidR="00A47303" w:rsidRDefault="002877EE">
      <w:pPr>
        <w:pStyle w:val="a3"/>
        <w:spacing w:before="42"/>
        <w:ind w:left="540" w:firstLine="0"/>
      </w:pPr>
      <w:r>
        <w:rPr>
          <w:spacing w:val="-2"/>
        </w:rPr>
        <w:t>为加强流动性管理，适度调控货币信贷投放，中国人民银行决定，从</w:t>
      </w:r>
      <w:r>
        <w:rPr>
          <w:spacing w:val="-2"/>
        </w:rPr>
        <w:t xml:space="preserve"> </w:t>
      </w:r>
      <w:r>
        <w:t>2010</w:t>
      </w:r>
      <w:r>
        <w:rPr>
          <w:spacing w:val="-33"/>
        </w:rPr>
        <w:t xml:space="preserve"> </w:t>
      </w:r>
      <w:r>
        <w:rPr>
          <w:spacing w:val="-33"/>
        </w:rPr>
        <w:t>年</w:t>
      </w:r>
      <w:r>
        <w:rPr>
          <w:spacing w:val="-33"/>
        </w:rPr>
        <w:t xml:space="preserve"> </w:t>
      </w:r>
      <w:r>
        <w:t>11</w:t>
      </w:r>
      <w:r>
        <w:rPr>
          <w:spacing w:val="-33"/>
        </w:rPr>
        <w:t xml:space="preserve"> </w:t>
      </w:r>
      <w:r>
        <w:rPr>
          <w:spacing w:val="-33"/>
        </w:rPr>
        <w:t>月</w:t>
      </w:r>
      <w:r>
        <w:rPr>
          <w:spacing w:val="-33"/>
        </w:rPr>
        <w:t xml:space="preserve"> </w:t>
      </w:r>
      <w:r>
        <w:t>29</w:t>
      </w:r>
    </w:p>
    <w:p w:rsidR="00A47303" w:rsidRDefault="002877EE">
      <w:pPr>
        <w:pStyle w:val="a3"/>
        <w:ind w:left="120" w:firstLine="0"/>
      </w:pPr>
      <w:r>
        <w:rPr>
          <w:spacing w:val="-3"/>
        </w:rPr>
        <w:t>日起，上调存款类金融机构人民币存款准备金率</w:t>
      </w:r>
      <w:r>
        <w:rPr>
          <w:spacing w:val="-3"/>
        </w:rPr>
        <w:t xml:space="preserve"> </w:t>
      </w:r>
      <w:r>
        <w:t>0.5</w:t>
      </w:r>
      <w:r>
        <w:rPr>
          <w:spacing w:val="-12"/>
        </w:rPr>
        <w:t xml:space="preserve"> </w:t>
      </w:r>
      <w:r>
        <w:rPr>
          <w:spacing w:val="-12"/>
        </w:rPr>
        <w:t>个百分点。这也是我国</w:t>
      </w:r>
      <w:r>
        <w:rPr>
          <w:spacing w:val="-12"/>
        </w:rPr>
        <w:t xml:space="preserve"> </w:t>
      </w:r>
      <w:r>
        <w:t>2010</w:t>
      </w:r>
      <w:r>
        <w:rPr>
          <w:spacing w:val="-12"/>
        </w:rPr>
        <w:t xml:space="preserve"> </w:t>
      </w:r>
      <w:r>
        <w:rPr>
          <w:spacing w:val="-12"/>
        </w:rPr>
        <w:t>年以来第</w:t>
      </w:r>
    </w:p>
    <w:p w:rsidR="00A47303" w:rsidRDefault="002877EE">
      <w:pPr>
        <w:pStyle w:val="a3"/>
        <w:spacing w:line="278" w:lineRule="auto"/>
        <w:ind w:left="120" w:right="220" w:firstLine="0"/>
      </w:pPr>
      <w:r>
        <w:t>5</w:t>
      </w:r>
      <w:r>
        <w:rPr>
          <w:spacing w:val="-12"/>
        </w:rPr>
        <w:t xml:space="preserve"> </w:t>
      </w:r>
      <w:r>
        <w:rPr>
          <w:spacing w:val="-12"/>
        </w:rPr>
        <w:t>次上调法定存款准备金率。试分析中国人民银行持续调整法定存款准备金率的经济背景与</w:t>
      </w:r>
      <w:r>
        <w:rPr>
          <w:spacing w:val="-31"/>
        </w:rPr>
        <w:t>政策意图。</w:t>
      </w:r>
      <w:r>
        <w:t>（</w:t>
      </w:r>
      <w:r>
        <w:t>15</w:t>
      </w:r>
      <w:r>
        <w:rPr>
          <w:spacing w:val="-28"/>
        </w:rPr>
        <w:t xml:space="preserve"> </w:t>
      </w:r>
      <w:r>
        <w:rPr>
          <w:spacing w:val="-28"/>
        </w:rPr>
        <w:t>分</w:t>
      </w:r>
      <w:r>
        <w:t>）</w:t>
      </w:r>
    </w:p>
    <w:p w:rsidR="00A47303" w:rsidRDefault="00A47303">
      <w:pPr>
        <w:pStyle w:val="a3"/>
        <w:spacing w:before="4"/>
        <w:ind w:left="0" w:firstLine="0"/>
        <w:rPr>
          <w:sz w:val="24"/>
        </w:rPr>
      </w:pPr>
    </w:p>
    <w:p w:rsidR="00A47303" w:rsidRDefault="002877EE">
      <w:pPr>
        <w:spacing w:before="1"/>
        <w:ind w:left="540"/>
        <w:rPr>
          <w:sz w:val="21"/>
        </w:rPr>
      </w:pPr>
      <w:r>
        <w:rPr>
          <w:b/>
          <w:sz w:val="21"/>
        </w:rPr>
        <w:t>三、论述题</w:t>
      </w:r>
      <w:r>
        <w:rPr>
          <w:sz w:val="21"/>
        </w:rPr>
        <w:t>（共</w:t>
      </w:r>
      <w:r>
        <w:rPr>
          <w:sz w:val="21"/>
        </w:rPr>
        <w:t xml:space="preserve"> 25 </w:t>
      </w:r>
      <w:r>
        <w:rPr>
          <w:sz w:val="21"/>
        </w:rPr>
        <w:t>分）</w:t>
      </w:r>
    </w:p>
    <w:p w:rsidR="00A47303" w:rsidRDefault="002877EE">
      <w:pPr>
        <w:pStyle w:val="a3"/>
        <w:spacing w:line="278" w:lineRule="auto"/>
        <w:ind w:left="120" w:right="219" w:firstLine="420"/>
        <w:jc w:val="both"/>
      </w:pPr>
      <w:r>
        <w:rPr>
          <w:spacing w:val="-5"/>
          <w:w w:val="95"/>
        </w:rPr>
        <w:t>根据二阶银行体制下的货币供给实现机制，论述影响与决定货币供应量的主要因素，并</w:t>
      </w:r>
      <w:r>
        <w:rPr>
          <w:w w:val="95"/>
        </w:rPr>
        <w:t>在此基础上分析货币供应量的外生性与内生性。货币供给外生性与内生性争论的实质是什</w:t>
      </w:r>
      <w:r>
        <w:t>么？这一争论有什么样的货币政策意义？</w:t>
      </w:r>
    </w:p>
    <w:p w:rsidR="00A47303" w:rsidRDefault="00A47303">
      <w:pPr>
        <w:pStyle w:val="a3"/>
        <w:spacing w:before="4"/>
        <w:ind w:left="0" w:firstLine="0"/>
        <w:rPr>
          <w:sz w:val="24"/>
        </w:rPr>
      </w:pPr>
    </w:p>
    <w:p w:rsidR="00A47303" w:rsidRDefault="002877EE">
      <w:pPr>
        <w:spacing w:line="278" w:lineRule="auto"/>
        <w:ind w:left="540" w:right="2576" w:firstLine="2366"/>
        <w:rPr>
          <w:sz w:val="21"/>
        </w:rPr>
      </w:pPr>
      <w:r>
        <w:rPr>
          <w:b/>
          <w:spacing w:val="-1"/>
          <w:sz w:val="21"/>
        </w:rPr>
        <w:t>第二部分</w:t>
      </w:r>
      <w:r>
        <w:rPr>
          <w:b/>
          <w:spacing w:val="-1"/>
          <w:sz w:val="21"/>
        </w:rPr>
        <w:t xml:space="preserve"> </w:t>
      </w:r>
      <w:r>
        <w:rPr>
          <w:b/>
          <w:spacing w:val="-1"/>
          <w:sz w:val="21"/>
        </w:rPr>
        <w:t>国际金融学</w:t>
      </w:r>
      <w:r>
        <w:rPr>
          <w:b/>
          <w:sz w:val="21"/>
        </w:rPr>
        <w:t>（</w:t>
      </w:r>
      <w:r>
        <w:rPr>
          <w:b/>
          <w:spacing w:val="-26"/>
          <w:sz w:val="21"/>
        </w:rPr>
        <w:t>共</w:t>
      </w:r>
      <w:r>
        <w:rPr>
          <w:b/>
          <w:spacing w:val="-26"/>
          <w:sz w:val="21"/>
        </w:rPr>
        <w:t xml:space="preserve"> </w:t>
      </w:r>
      <w:r>
        <w:rPr>
          <w:b/>
          <w:sz w:val="21"/>
        </w:rPr>
        <w:t>45</w:t>
      </w:r>
      <w:r>
        <w:rPr>
          <w:b/>
          <w:spacing w:val="-29"/>
          <w:sz w:val="21"/>
        </w:rPr>
        <w:t xml:space="preserve"> </w:t>
      </w:r>
      <w:r>
        <w:rPr>
          <w:b/>
          <w:spacing w:val="-29"/>
          <w:sz w:val="21"/>
        </w:rPr>
        <w:t>分</w:t>
      </w:r>
      <w:r>
        <w:rPr>
          <w:b/>
          <w:spacing w:val="-13"/>
          <w:sz w:val="21"/>
        </w:rPr>
        <w:t>）</w:t>
      </w:r>
      <w:r>
        <w:rPr>
          <w:b/>
          <w:spacing w:val="-13"/>
          <w:sz w:val="21"/>
        </w:rPr>
        <w:t xml:space="preserve"> </w:t>
      </w:r>
      <w:r>
        <w:rPr>
          <w:b/>
          <w:sz w:val="21"/>
        </w:rPr>
        <w:t>一、判断题</w:t>
      </w:r>
      <w:r>
        <w:rPr>
          <w:sz w:val="21"/>
        </w:rPr>
        <w:t>（</w:t>
      </w:r>
      <w:r>
        <w:rPr>
          <w:spacing w:val="-8"/>
          <w:sz w:val="21"/>
        </w:rPr>
        <w:t>每题一分，共</w:t>
      </w:r>
      <w:r>
        <w:rPr>
          <w:spacing w:val="-8"/>
          <w:sz w:val="21"/>
        </w:rPr>
        <w:t xml:space="preserve"> </w:t>
      </w:r>
      <w:r>
        <w:rPr>
          <w:sz w:val="21"/>
        </w:rPr>
        <w:t>10</w:t>
      </w:r>
      <w:r>
        <w:rPr>
          <w:spacing w:val="-8"/>
          <w:sz w:val="21"/>
        </w:rPr>
        <w:t xml:space="preserve"> </w:t>
      </w:r>
      <w:r>
        <w:rPr>
          <w:spacing w:val="-8"/>
          <w:sz w:val="21"/>
        </w:rPr>
        <w:t>分，对划</w:t>
      </w:r>
      <w:r>
        <w:rPr>
          <w:spacing w:val="-8"/>
          <w:sz w:val="21"/>
        </w:rPr>
        <w:t>√</w:t>
      </w:r>
      <w:r>
        <w:rPr>
          <w:spacing w:val="-8"/>
          <w:sz w:val="21"/>
        </w:rPr>
        <w:t>错划</w:t>
      </w:r>
      <w:r>
        <w:rPr>
          <w:spacing w:val="-8"/>
          <w:sz w:val="21"/>
        </w:rPr>
        <w:t>×</w:t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3268"/>
        </w:tabs>
        <w:spacing w:before="0" w:line="269" w:lineRule="exact"/>
        <w:ind w:hanging="315"/>
        <w:rPr>
          <w:sz w:val="21"/>
        </w:rPr>
      </w:pPr>
      <w:r>
        <w:rPr>
          <w:sz w:val="21"/>
        </w:rPr>
        <w:t>外国货币就是外汇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5159"/>
        </w:tabs>
        <w:ind w:hanging="315"/>
        <w:rPr>
          <w:sz w:val="21"/>
        </w:rPr>
      </w:pPr>
      <w:r>
        <w:rPr>
          <w:sz w:val="21"/>
        </w:rPr>
        <w:t>即期外汇交易</w:t>
      </w:r>
      <w:r>
        <w:rPr>
          <w:sz w:val="21"/>
        </w:rPr>
        <w:t>就是外汇现买现卖的交易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5368"/>
        </w:tabs>
        <w:ind w:hanging="315"/>
        <w:rPr>
          <w:sz w:val="21"/>
        </w:rPr>
      </w:pPr>
      <w:r>
        <w:rPr>
          <w:sz w:val="21"/>
        </w:rPr>
        <w:t>出口公司向银行卖出外汇时应使用卖出价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4739"/>
        </w:tabs>
        <w:ind w:hanging="315"/>
        <w:rPr>
          <w:sz w:val="21"/>
        </w:rPr>
      </w:pPr>
      <w:r>
        <w:rPr>
          <w:sz w:val="21"/>
        </w:rPr>
        <w:t>直接标价法与间接标价法没有区别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5368"/>
        </w:tabs>
        <w:spacing w:before="42"/>
        <w:ind w:hanging="315"/>
        <w:rPr>
          <w:sz w:val="21"/>
        </w:rPr>
      </w:pPr>
      <w:r>
        <w:rPr>
          <w:sz w:val="21"/>
        </w:rPr>
        <w:t>银行买入外币现钞价低于买入外汇现汇价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6419"/>
        </w:tabs>
        <w:ind w:hanging="315"/>
        <w:rPr>
          <w:sz w:val="21"/>
        </w:rPr>
      </w:pPr>
      <w:r>
        <w:rPr>
          <w:sz w:val="21"/>
        </w:rPr>
        <w:t>任何外汇交易对交易双方都是风险与收益对称的交易</w:t>
      </w:r>
      <w:r>
        <w:rPr>
          <w:spacing w:val="-10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4528"/>
        </w:tabs>
        <w:ind w:hanging="315"/>
        <w:rPr>
          <w:sz w:val="21"/>
        </w:rPr>
      </w:pPr>
      <w:r>
        <w:rPr>
          <w:sz w:val="21"/>
        </w:rPr>
        <w:t>不能用特别提款权直接兑换黄金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6525"/>
        </w:tabs>
        <w:ind w:hanging="315"/>
        <w:rPr>
          <w:sz w:val="21"/>
        </w:rPr>
      </w:pPr>
      <w:r>
        <w:rPr>
          <w:sz w:val="21"/>
        </w:rPr>
        <w:t>欧元对美元升值</w:t>
      </w:r>
      <w:r>
        <w:rPr>
          <w:spacing w:val="-56"/>
          <w:sz w:val="21"/>
        </w:rPr>
        <w:t xml:space="preserve"> </w:t>
      </w:r>
      <w:r>
        <w:rPr>
          <w:sz w:val="21"/>
        </w:rPr>
        <w:t>11%</w:t>
      </w:r>
      <w:r>
        <w:rPr>
          <w:sz w:val="21"/>
        </w:rPr>
        <w:t>，意味着美元对欧元相对贬值</w:t>
      </w:r>
      <w:r>
        <w:rPr>
          <w:spacing w:val="-56"/>
          <w:sz w:val="21"/>
        </w:rPr>
        <w:t xml:space="preserve"> </w:t>
      </w:r>
      <w:r>
        <w:rPr>
          <w:sz w:val="21"/>
        </w:rPr>
        <w:t>11%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856"/>
          <w:tab w:val="left" w:pos="4108"/>
        </w:tabs>
        <w:ind w:hanging="315"/>
        <w:rPr>
          <w:sz w:val="21"/>
        </w:rPr>
      </w:pPr>
      <w:r>
        <w:rPr>
          <w:sz w:val="21"/>
        </w:rPr>
        <w:t>有抛补套利又称无风险套利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1"/>
        </w:numPr>
        <w:tabs>
          <w:tab w:val="left" w:pos="959"/>
          <w:tab w:val="left" w:pos="6314"/>
        </w:tabs>
        <w:ind w:left="958" w:hanging="418"/>
        <w:rPr>
          <w:sz w:val="21"/>
        </w:rPr>
      </w:pPr>
      <w:r>
        <w:rPr>
          <w:sz w:val="21"/>
        </w:rPr>
        <w:t>对外投资收入应列入国际收支平衡表的经常项目中</w:t>
      </w:r>
      <w:r>
        <w:rPr>
          <w:spacing w:val="-104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A47303">
      <w:pPr>
        <w:pStyle w:val="a3"/>
        <w:spacing w:before="9"/>
        <w:ind w:left="0" w:firstLine="0"/>
        <w:rPr>
          <w:sz w:val="27"/>
        </w:rPr>
      </w:pPr>
    </w:p>
    <w:p w:rsidR="00A47303" w:rsidRDefault="002877EE">
      <w:pPr>
        <w:pStyle w:val="a3"/>
        <w:spacing w:before="0"/>
        <w:ind w:left="540" w:firstLine="0"/>
      </w:pPr>
      <w:r>
        <w:rPr>
          <w:b/>
        </w:rPr>
        <w:t>二、选择题</w:t>
      </w:r>
      <w:r>
        <w:t>（每题一分，共</w:t>
      </w:r>
      <w:r>
        <w:t xml:space="preserve"> 10 </w:t>
      </w:r>
      <w:r>
        <w:t>分，包括单选或多选）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3794"/>
        </w:tabs>
        <w:ind w:hanging="315"/>
        <w:rPr>
          <w:sz w:val="21"/>
        </w:rPr>
      </w:pPr>
      <w:r>
        <w:rPr>
          <w:sz w:val="21"/>
        </w:rPr>
        <w:t>由铸币平价决定的汇率是（</w:t>
      </w:r>
      <w:r>
        <w:rPr>
          <w:sz w:val="21"/>
        </w:rPr>
        <w:tab/>
      </w:r>
      <w:r>
        <w:rPr>
          <w:spacing w:val="-104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名义汇率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实际汇率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法定汇率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基础汇率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浮动汇率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4005"/>
        </w:tabs>
        <w:ind w:hanging="315"/>
        <w:rPr>
          <w:sz w:val="21"/>
        </w:rPr>
      </w:pPr>
      <w:r>
        <w:rPr>
          <w:sz w:val="21"/>
        </w:rPr>
        <w:t>现行的人民币汇率制度实行（</w:t>
      </w:r>
      <w:r>
        <w:rPr>
          <w:sz w:val="21"/>
        </w:rPr>
        <w:tab/>
      </w:r>
      <w:r>
        <w:rPr>
          <w:spacing w:val="-106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直接标价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买卖双价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现汇和现钞卖出双价</w:t>
      </w:r>
    </w:p>
    <w:p w:rsidR="00A47303" w:rsidRDefault="00A47303">
      <w:pPr>
        <w:rPr>
          <w:sz w:val="21"/>
        </w:rPr>
        <w:sectPr w:rsidR="00A47303">
          <w:headerReference w:type="default" r:id="rId7"/>
          <w:footerReference w:type="default" r:id="rId8"/>
          <w:type w:val="continuous"/>
          <w:pgSz w:w="11910" w:h="16840"/>
          <w:pgMar w:top="440" w:right="1580" w:bottom="1380" w:left="1680" w:header="720" w:footer="1191" w:gutter="0"/>
          <w:pgNumType w:start="1"/>
          <w:cols w:space="720"/>
        </w:sectPr>
      </w:pPr>
    </w:p>
    <w:p w:rsidR="00A47303" w:rsidRDefault="00A47303">
      <w:pPr>
        <w:pStyle w:val="a3"/>
        <w:spacing w:before="0"/>
        <w:ind w:left="112" w:firstLine="0"/>
        <w:rPr>
          <w:sz w:val="20"/>
        </w:rPr>
      </w:pP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spacing w:before="0" w:line="253" w:lineRule="exact"/>
        <w:ind w:hanging="315"/>
        <w:rPr>
          <w:sz w:val="21"/>
        </w:rPr>
      </w:pPr>
      <w:r>
        <w:rPr>
          <w:sz w:val="21"/>
        </w:rPr>
        <w:t>双轨制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单一汇率制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3165"/>
        </w:tabs>
        <w:ind w:hanging="315"/>
        <w:rPr>
          <w:sz w:val="21"/>
        </w:rPr>
      </w:pPr>
      <w:r>
        <w:rPr>
          <w:sz w:val="21"/>
        </w:rPr>
        <w:t>外汇会计风险又称（</w:t>
      </w:r>
      <w:r>
        <w:rPr>
          <w:sz w:val="21"/>
        </w:rPr>
        <w:tab/>
      </w:r>
      <w:r>
        <w:rPr>
          <w:spacing w:val="-106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转换风险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spacing w:before="42"/>
        <w:ind w:hanging="315"/>
        <w:rPr>
          <w:sz w:val="21"/>
        </w:rPr>
      </w:pPr>
      <w:r>
        <w:rPr>
          <w:w w:val="95"/>
          <w:sz w:val="21"/>
        </w:rPr>
        <w:t>结算风险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评价风险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换算风险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折算风险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4005"/>
        </w:tabs>
        <w:ind w:hanging="315"/>
        <w:rPr>
          <w:sz w:val="21"/>
        </w:rPr>
      </w:pPr>
      <w:r>
        <w:rPr>
          <w:sz w:val="21"/>
        </w:rPr>
        <w:t>当代国际储备的显著特点是（</w:t>
      </w:r>
      <w:r>
        <w:rPr>
          <w:sz w:val="21"/>
        </w:rPr>
        <w:tab/>
      </w:r>
      <w:r>
        <w:rPr>
          <w:spacing w:val="-106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国际储备外汇化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管理结构标准化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外汇储备多元化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规模管理规范化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国际储备黄金化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5685"/>
        </w:tabs>
        <w:ind w:hanging="315"/>
        <w:rPr>
          <w:sz w:val="21"/>
        </w:rPr>
      </w:pPr>
      <w:r>
        <w:rPr>
          <w:sz w:val="21"/>
        </w:rPr>
        <w:t>外汇银行与外汇银行之间的外汇交易一般称为（</w:t>
      </w:r>
      <w:r>
        <w:rPr>
          <w:sz w:val="21"/>
        </w:rPr>
        <w:tab/>
      </w:r>
      <w:r>
        <w:rPr>
          <w:spacing w:val="-106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批发市场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同业交易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欧式市场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零售市场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柜台交易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7154"/>
        </w:tabs>
        <w:spacing w:before="42"/>
        <w:ind w:hanging="315"/>
        <w:rPr>
          <w:sz w:val="21"/>
        </w:rPr>
      </w:pPr>
      <w:r>
        <w:rPr>
          <w:sz w:val="21"/>
        </w:rPr>
        <w:t>有中国大陆背景的在境外注册、在香港上市的公司股票被称为（</w:t>
      </w:r>
      <w:r>
        <w:rPr>
          <w:sz w:val="21"/>
        </w:rPr>
        <w:tab/>
      </w:r>
      <w:r>
        <w:rPr>
          <w:spacing w:val="-104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3"/>
        <w:ind w:left="540" w:firstLine="0"/>
      </w:pPr>
      <w:r>
        <w:t>A</w:t>
      </w:r>
      <w:r>
        <w:t>．</w:t>
      </w:r>
      <w:r>
        <w:t>H</w:t>
      </w:r>
      <w:r>
        <w:rPr>
          <w:spacing w:val="-28"/>
        </w:rPr>
        <w:t xml:space="preserve"> </w:t>
      </w:r>
      <w:r>
        <w:rPr>
          <w:spacing w:val="-28"/>
        </w:rPr>
        <w:t>股</w:t>
      </w:r>
    </w:p>
    <w:p w:rsidR="00A47303" w:rsidRDefault="002877EE">
      <w:pPr>
        <w:pStyle w:val="a3"/>
        <w:ind w:left="540" w:firstLine="0"/>
      </w:pPr>
      <w:r>
        <w:t>B</w:t>
      </w:r>
      <w:r>
        <w:t>．</w:t>
      </w:r>
      <w:r>
        <w:t>N</w:t>
      </w:r>
      <w:r>
        <w:rPr>
          <w:spacing w:val="-28"/>
        </w:rPr>
        <w:t xml:space="preserve"> </w:t>
      </w:r>
      <w:r>
        <w:rPr>
          <w:spacing w:val="-28"/>
        </w:rPr>
        <w:t>股</w:t>
      </w:r>
    </w:p>
    <w:p w:rsidR="00A47303" w:rsidRDefault="002877EE">
      <w:pPr>
        <w:pStyle w:val="a4"/>
        <w:numPr>
          <w:ilvl w:val="0"/>
          <w:numId w:val="7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蓝筹股</w:t>
      </w:r>
    </w:p>
    <w:p w:rsidR="00A47303" w:rsidRDefault="002877EE">
      <w:pPr>
        <w:pStyle w:val="a4"/>
        <w:numPr>
          <w:ilvl w:val="0"/>
          <w:numId w:val="7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红筹股</w:t>
      </w:r>
    </w:p>
    <w:p w:rsidR="00A47303" w:rsidRDefault="002877EE">
      <w:pPr>
        <w:pStyle w:val="a3"/>
        <w:ind w:left="540" w:firstLine="0"/>
      </w:pPr>
      <w:r>
        <w:t>E</w:t>
      </w:r>
      <w:r>
        <w:t>．</w:t>
      </w:r>
      <w:r>
        <w:t xml:space="preserve">S </w:t>
      </w:r>
      <w:r>
        <w:t>股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5265"/>
        </w:tabs>
        <w:ind w:hanging="315"/>
        <w:rPr>
          <w:sz w:val="21"/>
        </w:rPr>
      </w:pPr>
      <w:r>
        <w:rPr>
          <w:sz w:val="21"/>
        </w:rPr>
        <w:t>投资性外汇交易最主要靠哪种方式获利？（</w:t>
      </w:r>
      <w:r>
        <w:rPr>
          <w:sz w:val="21"/>
        </w:rPr>
        <w:tab/>
      </w:r>
      <w:r>
        <w:rPr>
          <w:sz w:val="21"/>
        </w:rPr>
        <w:t>）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两地汇差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汇率变动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两地利差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两地价差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汇率固定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7"/>
          <w:tab w:val="left" w:pos="4108"/>
        </w:tabs>
        <w:spacing w:line="278" w:lineRule="auto"/>
        <w:ind w:left="120" w:right="220" w:firstLine="420"/>
        <w:rPr>
          <w:sz w:val="21"/>
        </w:rPr>
      </w:pPr>
      <w:r>
        <w:rPr>
          <w:sz w:val="21"/>
        </w:rPr>
        <w:t>由于国际市场对本国出口和进口的需求与供给条件发生变化，本国贸易无法迅速调整所导致的国际收支不平衡，称之为（</w:t>
      </w:r>
      <w:r>
        <w:rPr>
          <w:sz w:val="21"/>
        </w:rPr>
        <w:tab/>
      </w:r>
      <w:r>
        <w:rPr>
          <w:spacing w:val="-104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0"/>
          <w:numId w:val="6"/>
        </w:numPr>
        <w:tabs>
          <w:tab w:val="left" w:pos="856"/>
        </w:tabs>
        <w:spacing w:before="0" w:line="269" w:lineRule="exact"/>
        <w:ind w:hanging="315"/>
        <w:rPr>
          <w:sz w:val="21"/>
        </w:rPr>
      </w:pPr>
      <w:r>
        <w:rPr>
          <w:w w:val="95"/>
          <w:sz w:val="21"/>
        </w:rPr>
        <w:t>周期性不平衡</w:t>
      </w:r>
    </w:p>
    <w:p w:rsidR="00A47303" w:rsidRDefault="002877EE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货币性不平衡</w:t>
      </w:r>
    </w:p>
    <w:p w:rsidR="00A47303" w:rsidRDefault="002877EE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突发性不平衡</w:t>
      </w:r>
    </w:p>
    <w:p w:rsidR="00A47303" w:rsidRDefault="002877EE">
      <w:pPr>
        <w:pStyle w:val="a4"/>
        <w:numPr>
          <w:ilvl w:val="0"/>
          <w:numId w:val="6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收入性不平衡</w:t>
      </w:r>
    </w:p>
    <w:p w:rsidR="00A47303" w:rsidRDefault="002877EE">
      <w:pPr>
        <w:pStyle w:val="a4"/>
        <w:numPr>
          <w:ilvl w:val="0"/>
          <w:numId w:val="6"/>
        </w:numPr>
        <w:tabs>
          <w:tab w:val="left" w:pos="856"/>
        </w:tabs>
        <w:spacing w:before="42"/>
        <w:ind w:hanging="315"/>
        <w:rPr>
          <w:sz w:val="21"/>
        </w:rPr>
      </w:pPr>
      <w:r>
        <w:rPr>
          <w:w w:val="95"/>
          <w:sz w:val="21"/>
        </w:rPr>
        <w:t>结构性不平衡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856"/>
          <w:tab w:val="left" w:pos="4214"/>
        </w:tabs>
        <w:ind w:hanging="315"/>
        <w:rPr>
          <w:sz w:val="21"/>
        </w:rPr>
      </w:pPr>
      <w:r>
        <w:rPr>
          <w:sz w:val="21"/>
        </w:rPr>
        <w:t>一国国际储备最主要的来源是（</w:t>
      </w:r>
      <w:r>
        <w:rPr>
          <w:sz w:val="21"/>
        </w:rPr>
        <w:tab/>
      </w:r>
      <w:r>
        <w:rPr>
          <w:spacing w:val="-104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国际借贷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分配的特别提款权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经常项目顺差</w:t>
      </w:r>
    </w:p>
    <w:p w:rsidR="00A47303" w:rsidRDefault="00A47303">
      <w:pPr>
        <w:rPr>
          <w:sz w:val="21"/>
        </w:rPr>
        <w:sectPr w:rsidR="00A47303">
          <w:pgSz w:w="11910" w:h="16840"/>
          <w:pgMar w:top="840" w:right="1580" w:bottom="1380" w:left="1680" w:header="0" w:footer="1191" w:gutter="0"/>
          <w:cols w:space="720"/>
        </w:sectPr>
      </w:pPr>
    </w:p>
    <w:p w:rsidR="00A47303" w:rsidRDefault="00A47303">
      <w:pPr>
        <w:pStyle w:val="a3"/>
        <w:spacing w:before="0"/>
        <w:ind w:left="112" w:firstLine="0"/>
        <w:rPr>
          <w:sz w:val="20"/>
        </w:rPr>
      </w:pP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spacing w:before="0" w:line="253" w:lineRule="exact"/>
        <w:ind w:hanging="315"/>
        <w:rPr>
          <w:sz w:val="21"/>
        </w:rPr>
      </w:pPr>
      <w:r>
        <w:rPr>
          <w:sz w:val="21"/>
        </w:rPr>
        <w:t>收购黄金</w:t>
      </w:r>
    </w:p>
    <w:p w:rsidR="00A47303" w:rsidRDefault="002877EE">
      <w:pPr>
        <w:pStyle w:val="a4"/>
        <w:numPr>
          <w:ilvl w:val="1"/>
          <w:numId w:val="8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普通提款权</w:t>
      </w:r>
    </w:p>
    <w:p w:rsidR="00A47303" w:rsidRDefault="002877EE">
      <w:pPr>
        <w:pStyle w:val="a4"/>
        <w:numPr>
          <w:ilvl w:val="0"/>
          <w:numId w:val="8"/>
        </w:numPr>
        <w:tabs>
          <w:tab w:val="left" w:pos="959"/>
          <w:tab w:val="left" w:pos="4319"/>
        </w:tabs>
        <w:ind w:left="958" w:hanging="418"/>
        <w:rPr>
          <w:sz w:val="21"/>
        </w:rPr>
      </w:pPr>
      <w:r>
        <w:rPr>
          <w:sz w:val="21"/>
        </w:rPr>
        <w:t>远期汇率低于即期汇率意味着（</w:t>
      </w:r>
      <w:r>
        <w:rPr>
          <w:sz w:val="21"/>
        </w:rPr>
        <w:tab/>
      </w:r>
      <w:r>
        <w:rPr>
          <w:spacing w:val="-104"/>
          <w:sz w:val="21"/>
        </w:rPr>
        <w:t>）</w:t>
      </w:r>
      <w:r>
        <w:rPr>
          <w:sz w:val="21"/>
        </w:rPr>
        <w:t>。</w:t>
      </w:r>
    </w:p>
    <w:p w:rsidR="00A47303" w:rsidRDefault="002877EE">
      <w:pPr>
        <w:pStyle w:val="a4"/>
        <w:numPr>
          <w:ilvl w:val="0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外汇平水</w:t>
      </w:r>
    </w:p>
    <w:p w:rsidR="00A47303" w:rsidRDefault="002877EE">
      <w:pPr>
        <w:pStyle w:val="a4"/>
        <w:numPr>
          <w:ilvl w:val="0"/>
          <w:numId w:val="5"/>
        </w:numPr>
        <w:tabs>
          <w:tab w:val="left" w:pos="856"/>
        </w:tabs>
        <w:spacing w:before="42"/>
        <w:ind w:hanging="315"/>
        <w:rPr>
          <w:sz w:val="21"/>
        </w:rPr>
      </w:pPr>
      <w:r>
        <w:rPr>
          <w:w w:val="95"/>
          <w:sz w:val="21"/>
        </w:rPr>
        <w:t>外汇升水</w:t>
      </w:r>
    </w:p>
    <w:p w:rsidR="00A47303" w:rsidRDefault="002877EE">
      <w:pPr>
        <w:pStyle w:val="a4"/>
        <w:numPr>
          <w:ilvl w:val="0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外汇超调</w:t>
      </w:r>
    </w:p>
    <w:p w:rsidR="00A47303" w:rsidRDefault="002877EE">
      <w:pPr>
        <w:pStyle w:val="a4"/>
        <w:numPr>
          <w:ilvl w:val="0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外汇保值</w:t>
      </w:r>
    </w:p>
    <w:p w:rsidR="00A47303" w:rsidRDefault="002877EE">
      <w:pPr>
        <w:pStyle w:val="a4"/>
        <w:numPr>
          <w:ilvl w:val="0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w w:val="95"/>
          <w:sz w:val="21"/>
        </w:rPr>
        <w:t>外汇贴水</w:t>
      </w:r>
    </w:p>
    <w:p w:rsidR="00A47303" w:rsidRDefault="00A47303">
      <w:pPr>
        <w:pStyle w:val="a3"/>
        <w:spacing w:before="9"/>
        <w:ind w:left="0" w:firstLine="0"/>
        <w:rPr>
          <w:sz w:val="27"/>
        </w:rPr>
      </w:pPr>
    </w:p>
    <w:p w:rsidR="00A47303" w:rsidRDefault="002877EE">
      <w:pPr>
        <w:ind w:left="540"/>
        <w:rPr>
          <w:sz w:val="21"/>
        </w:rPr>
      </w:pPr>
      <w:r>
        <w:rPr>
          <w:b/>
          <w:sz w:val="21"/>
        </w:rPr>
        <w:t>三、论述题</w:t>
      </w:r>
      <w:r>
        <w:rPr>
          <w:sz w:val="21"/>
        </w:rPr>
        <w:t>（</w:t>
      </w:r>
      <w:r>
        <w:rPr>
          <w:sz w:val="21"/>
        </w:rPr>
        <w:t xml:space="preserve">25 </w:t>
      </w:r>
      <w:r>
        <w:rPr>
          <w:sz w:val="21"/>
        </w:rPr>
        <w:t>分）</w:t>
      </w:r>
    </w:p>
    <w:p w:rsidR="00A47303" w:rsidRDefault="002877EE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pacing w:val="-6"/>
          <w:sz w:val="21"/>
        </w:rPr>
        <w:t>运用汇率理论分析人民币升值的利与弊。</w:t>
      </w:r>
      <w:r>
        <w:rPr>
          <w:sz w:val="21"/>
        </w:rPr>
        <w:t>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47303" w:rsidRDefault="002877EE">
      <w:pPr>
        <w:pStyle w:val="a4"/>
        <w:numPr>
          <w:ilvl w:val="1"/>
          <w:numId w:val="5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分析国际收支平衡表的项目构成、差额和平衡关系（</w:t>
      </w:r>
      <w:r>
        <w:rPr>
          <w:sz w:val="21"/>
        </w:rPr>
        <w:t>15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47303" w:rsidRDefault="00A47303">
      <w:pPr>
        <w:pStyle w:val="a3"/>
        <w:spacing w:before="9"/>
        <w:ind w:left="0" w:firstLine="0"/>
        <w:rPr>
          <w:sz w:val="27"/>
        </w:rPr>
      </w:pPr>
    </w:p>
    <w:p w:rsidR="00A47303" w:rsidRDefault="002877EE">
      <w:pPr>
        <w:tabs>
          <w:tab w:val="left" w:pos="3909"/>
        </w:tabs>
        <w:spacing w:line="278" w:lineRule="auto"/>
        <w:ind w:left="540" w:right="2523" w:firstLine="2316"/>
        <w:rPr>
          <w:sz w:val="21"/>
        </w:rPr>
      </w:pPr>
      <w:r>
        <w:rPr>
          <w:b/>
          <w:sz w:val="21"/>
        </w:rPr>
        <w:t>第三部分</w:t>
      </w:r>
      <w:r>
        <w:rPr>
          <w:b/>
          <w:sz w:val="21"/>
        </w:rPr>
        <w:tab/>
      </w:r>
      <w:r>
        <w:rPr>
          <w:b/>
          <w:sz w:val="21"/>
        </w:rPr>
        <w:t>证券投资学（共</w:t>
      </w:r>
      <w:r>
        <w:rPr>
          <w:b/>
          <w:spacing w:val="-56"/>
          <w:sz w:val="21"/>
        </w:rPr>
        <w:t xml:space="preserve"> </w:t>
      </w:r>
      <w:r>
        <w:rPr>
          <w:b/>
          <w:sz w:val="21"/>
        </w:rPr>
        <w:t>45</w:t>
      </w:r>
      <w:r>
        <w:rPr>
          <w:b/>
          <w:spacing w:val="-57"/>
          <w:sz w:val="21"/>
        </w:rPr>
        <w:t xml:space="preserve"> </w:t>
      </w:r>
      <w:r>
        <w:rPr>
          <w:b/>
          <w:sz w:val="21"/>
        </w:rPr>
        <w:t>分</w:t>
      </w:r>
      <w:r>
        <w:rPr>
          <w:b/>
          <w:spacing w:val="-13"/>
          <w:sz w:val="21"/>
        </w:rPr>
        <w:t>）</w:t>
      </w:r>
      <w:r>
        <w:rPr>
          <w:b/>
          <w:spacing w:val="-13"/>
          <w:sz w:val="21"/>
        </w:rPr>
        <w:t xml:space="preserve"> </w:t>
      </w:r>
      <w:r>
        <w:rPr>
          <w:b/>
          <w:sz w:val="21"/>
        </w:rPr>
        <w:t>一、简答题</w:t>
      </w:r>
      <w:r>
        <w:rPr>
          <w:sz w:val="21"/>
        </w:rPr>
        <w:t>（每题</w:t>
      </w:r>
      <w:r>
        <w:rPr>
          <w:spacing w:val="-54"/>
          <w:sz w:val="21"/>
        </w:rPr>
        <w:t xml:space="preserve"> </w:t>
      </w:r>
      <w:r>
        <w:rPr>
          <w:sz w:val="21"/>
        </w:rPr>
        <w:t>7</w:t>
      </w:r>
      <w:r>
        <w:rPr>
          <w:spacing w:val="-52"/>
          <w:sz w:val="21"/>
        </w:rPr>
        <w:t xml:space="preserve"> </w:t>
      </w:r>
      <w:r>
        <w:rPr>
          <w:sz w:val="21"/>
        </w:rPr>
        <w:t>分，共</w:t>
      </w:r>
      <w:r>
        <w:rPr>
          <w:spacing w:val="-53"/>
          <w:sz w:val="21"/>
        </w:rPr>
        <w:t xml:space="preserve"> </w:t>
      </w:r>
      <w:r>
        <w:rPr>
          <w:sz w:val="21"/>
        </w:rPr>
        <w:t>14</w:t>
      </w:r>
      <w:r>
        <w:rPr>
          <w:spacing w:val="-52"/>
          <w:sz w:val="21"/>
        </w:rPr>
        <w:t xml:space="preserve"> </w:t>
      </w:r>
      <w:r>
        <w:rPr>
          <w:sz w:val="21"/>
        </w:rPr>
        <w:t>分）</w:t>
      </w:r>
    </w:p>
    <w:p w:rsidR="00A47303" w:rsidRDefault="002877EE">
      <w:pPr>
        <w:pStyle w:val="a4"/>
        <w:numPr>
          <w:ilvl w:val="0"/>
          <w:numId w:val="4"/>
        </w:numPr>
        <w:tabs>
          <w:tab w:val="left" w:pos="856"/>
        </w:tabs>
        <w:spacing w:before="0" w:line="269" w:lineRule="exact"/>
        <w:ind w:hanging="315"/>
        <w:rPr>
          <w:sz w:val="21"/>
        </w:rPr>
      </w:pPr>
      <w:r>
        <w:rPr>
          <w:sz w:val="21"/>
        </w:rPr>
        <w:t>公司型投资基金与契约型投资基金的区别。</w:t>
      </w:r>
    </w:p>
    <w:p w:rsidR="00A47303" w:rsidRDefault="002877EE">
      <w:pPr>
        <w:pStyle w:val="a4"/>
        <w:numPr>
          <w:ilvl w:val="0"/>
          <w:numId w:val="4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股票价格指数的主要计算方法。</w:t>
      </w:r>
    </w:p>
    <w:p w:rsidR="00A47303" w:rsidRDefault="00A47303">
      <w:pPr>
        <w:pStyle w:val="a3"/>
        <w:spacing w:before="9"/>
        <w:ind w:left="0" w:firstLine="0"/>
        <w:rPr>
          <w:sz w:val="27"/>
        </w:rPr>
      </w:pPr>
    </w:p>
    <w:p w:rsidR="00A47303" w:rsidRDefault="002877EE">
      <w:pPr>
        <w:ind w:left="540"/>
        <w:rPr>
          <w:sz w:val="21"/>
        </w:rPr>
      </w:pPr>
      <w:r>
        <w:rPr>
          <w:b/>
          <w:sz w:val="21"/>
        </w:rPr>
        <w:t>二、计算题</w:t>
      </w:r>
      <w:r>
        <w:rPr>
          <w:sz w:val="21"/>
        </w:rPr>
        <w:t>（共</w:t>
      </w:r>
      <w:r>
        <w:rPr>
          <w:sz w:val="21"/>
        </w:rPr>
        <w:t xml:space="preserve"> 10 </w:t>
      </w:r>
      <w:r>
        <w:rPr>
          <w:sz w:val="21"/>
        </w:rPr>
        <w:t>分）</w:t>
      </w:r>
    </w:p>
    <w:p w:rsidR="00A47303" w:rsidRDefault="002877EE">
      <w:pPr>
        <w:pStyle w:val="a4"/>
        <w:numPr>
          <w:ilvl w:val="0"/>
          <w:numId w:val="3"/>
        </w:numPr>
        <w:tabs>
          <w:tab w:val="left" w:pos="856"/>
        </w:tabs>
        <w:spacing w:line="278" w:lineRule="auto"/>
        <w:ind w:right="217" w:firstLine="420"/>
        <w:rPr>
          <w:sz w:val="21"/>
        </w:rPr>
      </w:pPr>
      <w:r>
        <w:rPr>
          <w:spacing w:val="-7"/>
          <w:sz w:val="21"/>
        </w:rPr>
        <w:t>某证券投资者在</w:t>
      </w:r>
      <w:r>
        <w:rPr>
          <w:spacing w:val="-7"/>
          <w:sz w:val="21"/>
        </w:rPr>
        <w:t xml:space="preserve"> </w:t>
      </w:r>
      <w:r>
        <w:rPr>
          <w:sz w:val="21"/>
        </w:rPr>
        <w:t>2010</w:t>
      </w:r>
      <w:r>
        <w:rPr>
          <w:spacing w:val="-11"/>
          <w:sz w:val="21"/>
        </w:rPr>
        <w:t xml:space="preserve"> </w:t>
      </w:r>
      <w:r>
        <w:rPr>
          <w:spacing w:val="-11"/>
          <w:sz w:val="21"/>
        </w:rPr>
        <w:t>年初预测甲公司股票每年年末的股息均为</w:t>
      </w:r>
      <w:r>
        <w:rPr>
          <w:spacing w:val="-11"/>
          <w:sz w:val="21"/>
        </w:rPr>
        <w:t xml:space="preserve"> </w:t>
      </w:r>
      <w:r>
        <w:rPr>
          <w:sz w:val="21"/>
        </w:rPr>
        <w:t>0.5</w:t>
      </w:r>
      <w:r>
        <w:rPr>
          <w:spacing w:val="-16"/>
          <w:sz w:val="21"/>
        </w:rPr>
        <w:t xml:space="preserve"> </w:t>
      </w:r>
      <w:r>
        <w:rPr>
          <w:spacing w:val="-16"/>
          <w:sz w:val="21"/>
        </w:rPr>
        <w:t>元，假定折现</w:t>
      </w:r>
      <w:r>
        <w:rPr>
          <w:spacing w:val="-29"/>
          <w:sz w:val="21"/>
        </w:rPr>
        <w:t>率为</w:t>
      </w:r>
      <w:r>
        <w:rPr>
          <w:spacing w:val="-29"/>
          <w:sz w:val="21"/>
        </w:rPr>
        <w:t xml:space="preserve"> </w:t>
      </w:r>
      <w:r>
        <w:rPr>
          <w:sz w:val="21"/>
        </w:rPr>
        <w:t>5%</w:t>
      </w:r>
      <w:r>
        <w:rPr>
          <w:sz w:val="21"/>
        </w:rPr>
        <w:t>，则该年初股票投资价值是多少？（</w:t>
      </w:r>
      <w:r>
        <w:rPr>
          <w:sz w:val="21"/>
        </w:rPr>
        <w:t>4</w:t>
      </w:r>
      <w:r>
        <w:rPr>
          <w:spacing w:val="-27"/>
          <w:sz w:val="21"/>
        </w:rPr>
        <w:t xml:space="preserve"> </w:t>
      </w:r>
      <w:r>
        <w:rPr>
          <w:spacing w:val="-27"/>
          <w:sz w:val="21"/>
        </w:rPr>
        <w:t>分</w:t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3"/>
        </w:numPr>
        <w:tabs>
          <w:tab w:val="left" w:pos="856"/>
        </w:tabs>
        <w:spacing w:before="0" w:line="278" w:lineRule="auto"/>
        <w:ind w:right="216" w:firstLine="420"/>
        <w:rPr>
          <w:sz w:val="21"/>
        </w:rPr>
      </w:pPr>
      <w:r>
        <w:rPr>
          <w:spacing w:val="-5"/>
          <w:sz w:val="21"/>
        </w:rPr>
        <w:t>某公司股票的当期股息为</w:t>
      </w:r>
      <w:r>
        <w:rPr>
          <w:spacing w:val="-5"/>
          <w:sz w:val="21"/>
        </w:rPr>
        <w:t xml:space="preserve"> </w:t>
      </w:r>
      <w:r>
        <w:rPr>
          <w:sz w:val="21"/>
        </w:rPr>
        <w:t>0.6</w:t>
      </w:r>
      <w:r>
        <w:rPr>
          <w:spacing w:val="-18"/>
          <w:sz w:val="21"/>
        </w:rPr>
        <w:t xml:space="preserve"> </w:t>
      </w:r>
      <w:r>
        <w:rPr>
          <w:spacing w:val="-18"/>
          <w:sz w:val="21"/>
        </w:rPr>
        <w:t>元，折现率为</w:t>
      </w:r>
      <w:r>
        <w:rPr>
          <w:spacing w:val="-18"/>
          <w:sz w:val="21"/>
        </w:rPr>
        <w:t xml:space="preserve"> </w:t>
      </w:r>
      <w:r>
        <w:rPr>
          <w:spacing w:val="-8"/>
          <w:sz w:val="21"/>
        </w:rPr>
        <w:t>5%</w:t>
      </w:r>
      <w:r>
        <w:rPr>
          <w:spacing w:val="-8"/>
          <w:sz w:val="21"/>
        </w:rPr>
        <w:t>，预计以后股息每年增长率为</w:t>
      </w:r>
      <w:r>
        <w:rPr>
          <w:spacing w:val="-8"/>
          <w:sz w:val="21"/>
        </w:rPr>
        <w:t xml:space="preserve"> 2%</w:t>
      </w:r>
      <w:r>
        <w:rPr>
          <w:spacing w:val="-8"/>
          <w:sz w:val="21"/>
        </w:rPr>
        <w:t>，</w:t>
      </w:r>
      <w:r>
        <w:rPr>
          <w:spacing w:val="-8"/>
          <w:sz w:val="21"/>
        </w:rPr>
        <w:t xml:space="preserve"> </w:t>
      </w:r>
      <w:r>
        <w:rPr>
          <w:spacing w:val="-5"/>
          <w:sz w:val="21"/>
        </w:rPr>
        <w:t>根据成长评估模型计算该公司股票目前的投资价值。</w:t>
      </w:r>
      <w:r>
        <w:rPr>
          <w:sz w:val="21"/>
        </w:rPr>
        <w:t>（</w:t>
      </w:r>
      <w:r>
        <w:rPr>
          <w:sz w:val="21"/>
        </w:rPr>
        <w:t>6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47303" w:rsidRDefault="00A47303">
      <w:pPr>
        <w:pStyle w:val="a3"/>
        <w:spacing w:before="4"/>
        <w:ind w:left="0" w:firstLine="0"/>
        <w:rPr>
          <w:sz w:val="24"/>
        </w:rPr>
      </w:pPr>
    </w:p>
    <w:p w:rsidR="00A47303" w:rsidRDefault="002877EE">
      <w:pPr>
        <w:ind w:left="540"/>
        <w:rPr>
          <w:sz w:val="21"/>
        </w:rPr>
      </w:pPr>
      <w:r>
        <w:rPr>
          <w:b/>
          <w:sz w:val="21"/>
        </w:rPr>
        <w:t>三、应用分析题</w:t>
      </w:r>
      <w:r>
        <w:rPr>
          <w:sz w:val="21"/>
        </w:rPr>
        <w:t>（共</w:t>
      </w:r>
      <w:r>
        <w:rPr>
          <w:sz w:val="21"/>
        </w:rPr>
        <w:t xml:space="preserve"> 21 </w:t>
      </w:r>
      <w:r>
        <w:rPr>
          <w:sz w:val="21"/>
        </w:rPr>
        <w:t>分）</w:t>
      </w:r>
    </w:p>
    <w:p w:rsidR="00A47303" w:rsidRDefault="002877EE">
      <w:pPr>
        <w:pStyle w:val="a4"/>
        <w:numPr>
          <w:ilvl w:val="0"/>
          <w:numId w:val="2"/>
        </w:numPr>
        <w:tabs>
          <w:tab w:val="left" w:pos="856"/>
        </w:tabs>
        <w:ind w:hanging="315"/>
        <w:rPr>
          <w:sz w:val="21"/>
        </w:rPr>
      </w:pPr>
      <w:r>
        <w:rPr>
          <w:spacing w:val="-6"/>
          <w:sz w:val="21"/>
        </w:rPr>
        <w:t>试述波浪理论的主要思想及其操作原理。</w:t>
      </w:r>
      <w:r>
        <w:rPr>
          <w:sz w:val="21"/>
        </w:rPr>
        <w:t>（</w:t>
      </w:r>
      <w:r>
        <w:rPr>
          <w:sz w:val="21"/>
        </w:rPr>
        <w:t>10</w:t>
      </w:r>
      <w:r>
        <w:rPr>
          <w:spacing w:val="-28"/>
          <w:sz w:val="21"/>
        </w:rPr>
        <w:t xml:space="preserve"> </w:t>
      </w:r>
      <w:r>
        <w:rPr>
          <w:spacing w:val="-28"/>
          <w:sz w:val="21"/>
        </w:rPr>
        <w:t>分</w:t>
      </w:r>
      <w:r>
        <w:rPr>
          <w:sz w:val="21"/>
        </w:rPr>
        <w:t>）</w:t>
      </w:r>
    </w:p>
    <w:p w:rsidR="00A47303" w:rsidRDefault="002877EE">
      <w:pPr>
        <w:pStyle w:val="a4"/>
        <w:numPr>
          <w:ilvl w:val="0"/>
          <w:numId w:val="2"/>
        </w:numPr>
        <w:tabs>
          <w:tab w:val="left" w:pos="856"/>
        </w:tabs>
        <w:ind w:hanging="315"/>
        <w:rPr>
          <w:sz w:val="21"/>
        </w:rPr>
      </w:pPr>
      <w:r>
        <w:rPr>
          <w:sz w:val="21"/>
        </w:rPr>
        <w:t>试述道</w:t>
      </w:r>
      <w:r>
        <w:rPr>
          <w:spacing w:val="-10"/>
          <w:sz w:val="21"/>
        </w:rPr>
        <w:t>·</w:t>
      </w:r>
      <w:r>
        <w:rPr>
          <w:spacing w:val="-1"/>
          <w:sz w:val="21"/>
        </w:rPr>
        <w:t>琼斯趋势分析理论的核心内容，及其中期趋势与长期趋势的关系</w:t>
      </w:r>
      <w:r>
        <w:rPr>
          <w:spacing w:val="-116"/>
          <w:sz w:val="21"/>
        </w:rPr>
        <w:t>。</w:t>
      </w:r>
      <w:r>
        <w:rPr>
          <w:sz w:val="21"/>
        </w:rPr>
        <w:t>（</w:t>
      </w:r>
      <w:r>
        <w:rPr>
          <w:sz w:val="21"/>
        </w:rPr>
        <w:t>11</w:t>
      </w:r>
      <w:r>
        <w:rPr>
          <w:spacing w:val="-29"/>
          <w:sz w:val="21"/>
        </w:rPr>
        <w:t xml:space="preserve"> </w:t>
      </w:r>
      <w:r>
        <w:rPr>
          <w:spacing w:val="-29"/>
          <w:sz w:val="21"/>
        </w:rPr>
        <w:t>分</w:t>
      </w:r>
      <w:r>
        <w:rPr>
          <w:sz w:val="21"/>
        </w:rPr>
        <w:t>）</w:t>
      </w:r>
    </w:p>
    <w:sectPr w:rsidR="00A47303" w:rsidSect="00A47303">
      <w:pgSz w:w="11910" w:h="16840"/>
      <w:pgMar w:top="840" w:right="1580" w:bottom="1380" w:left="1680" w:header="0" w:footer="1191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877EE" w:rsidRDefault="002877EE" w:rsidP="00A47303">
      <w:r>
        <w:separator/>
      </w:r>
    </w:p>
  </w:endnote>
  <w:endnote w:type="continuationSeparator" w:id="1">
    <w:p w:rsidR="002877EE" w:rsidRDefault="002877EE" w:rsidP="00A473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7303" w:rsidRDefault="00A47303">
    <w:pPr>
      <w:pStyle w:val="a3"/>
      <w:spacing w:before="0" w:line="14" w:lineRule="auto"/>
      <w:ind w:left="0" w:firstLine="0"/>
      <w:rPr>
        <w:sz w:val="20"/>
      </w:rPr>
    </w:pPr>
    <w:r w:rsidRPr="00A47303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293.3pt;margin-top:771.35pt;width:8.6pt;height:11pt;z-index:-251658752;mso-position-horizontal-relative:page;mso-position-vertical-relative:page" filled="f" stroked="f">
          <v:textbox inset="0,0,0,0">
            <w:txbxContent>
              <w:p w:rsidR="00A47303" w:rsidRDefault="00A47303">
                <w:pPr>
                  <w:spacing w:line="203" w:lineRule="exact"/>
                  <w:ind w:left="40"/>
                  <w:rPr>
                    <w:rFonts w:ascii="Calibri"/>
                    <w:sz w:val="18"/>
                  </w:rPr>
                </w:pPr>
                <w:r>
                  <w:fldChar w:fldCharType="begin"/>
                </w:r>
                <w:r w:rsidR="002877EE">
                  <w:rPr>
                    <w:rFonts w:ascii="Calibri"/>
                    <w:sz w:val="18"/>
                  </w:rPr>
                  <w:instrText xml:space="preserve"> PAGE </w:instrText>
                </w:r>
                <w:r>
                  <w:fldChar w:fldCharType="separate"/>
                </w:r>
                <w:r w:rsidR="00B518FA">
                  <w:rPr>
                    <w:rFonts w:ascii="Calibri"/>
                    <w:noProof/>
                    <w:sz w:val="18"/>
                  </w:rPr>
                  <w:t>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877EE" w:rsidRDefault="002877EE" w:rsidP="00A47303">
      <w:r>
        <w:separator/>
      </w:r>
    </w:p>
  </w:footnote>
  <w:footnote w:type="continuationSeparator" w:id="1">
    <w:p w:rsidR="002877EE" w:rsidRDefault="002877EE" w:rsidP="00A473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2022" w:rsidRDefault="003E2022" w:rsidP="00302F8B">
    <w:pPr>
      <w:pStyle w:val="a5"/>
      <w:jc w:val="left"/>
      <w:rPr>
        <w:rFonts w:hint="eastAsia"/>
        <w:lang w:eastAsia="zh-C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093FB8"/>
    <w:multiLevelType w:val="hybridMultilevel"/>
    <w:tmpl w:val="544EA560"/>
    <w:lvl w:ilvl="0" w:tplc="DDAEE47C">
      <w:start w:val="1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04D6D362">
      <w:numFmt w:val="bullet"/>
      <w:lvlText w:val="•"/>
      <w:lvlJc w:val="left"/>
      <w:pPr>
        <w:ind w:left="1638" w:hanging="316"/>
      </w:pPr>
      <w:rPr>
        <w:rFonts w:hint="default"/>
        <w:lang w:val="ja-JP" w:eastAsia="ja-JP" w:bidi="ja-JP"/>
      </w:rPr>
    </w:lvl>
    <w:lvl w:ilvl="2" w:tplc="DB9A4586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AD284446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ADD44AA8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7A185BDA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2ACE6E08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A1501FB6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122C6092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abstractNum w:abstractNumId="1">
    <w:nsid w:val="1E223738"/>
    <w:multiLevelType w:val="hybridMultilevel"/>
    <w:tmpl w:val="414C8300"/>
    <w:lvl w:ilvl="0" w:tplc="17DCD2CE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CAA22CDA">
      <w:numFmt w:val="bullet"/>
      <w:lvlText w:val="•"/>
      <w:lvlJc w:val="left"/>
      <w:pPr>
        <w:ind w:left="1638" w:hanging="316"/>
      </w:pPr>
      <w:rPr>
        <w:rFonts w:hint="default"/>
        <w:lang w:val="ja-JP" w:eastAsia="ja-JP" w:bidi="ja-JP"/>
      </w:rPr>
    </w:lvl>
    <w:lvl w:ilvl="2" w:tplc="F1A01402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F6723476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1932D178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7966B960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1AB29D24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0110FB0A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547C75C0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abstractNum w:abstractNumId="2">
    <w:nsid w:val="23FC451B"/>
    <w:multiLevelType w:val="hybridMultilevel"/>
    <w:tmpl w:val="D5942F9C"/>
    <w:lvl w:ilvl="0" w:tplc="CB1EBDEE">
      <w:start w:val="3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CEBC8BDE">
      <w:numFmt w:val="bullet"/>
      <w:lvlText w:val="•"/>
      <w:lvlJc w:val="left"/>
      <w:pPr>
        <w:ind w:left="1638" w:hanging="316"/>
      </w:pPr>
      <w:rPr>
        <w:rFonts w:hint="default"/>
        <w:lang w:val="ja-JP" w:eastAsia="ja-JP" w:bidi="ja-JP"/>
      </w:rPr>
    </w:lvl>
    <w:lvl w:ilvl="2" w:tplc="4832377E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53728C70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485EA7AC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FF7A820A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4F04CC38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3A263C48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1C18053A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abstractNum w:abstractNumId="3">
    <w:nsid w:val="383B619E"/>
    <w:multiLevelType w:val="hybridMultilevel"/>
    <w:tmpl w:val="5FF23EA2"/>
    <w:lvl w:ilvl="0" w:tplc="558E7B12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DCBE0F88">
      <w:numFmt w:val="bullet"/>
      <w:lvlText w:val="•"/>
      <w:lvlJc w:val="left"/>
      <w:pPr>
        <w:ind w:left="1638" w:hanging="316"/>
      </w:pPr>
      <w:rPr>
        <w:rFonts w:hint="default"/>
        <w:lang w:val="ja-JP" w:eastAsia="ja-JP" w:bidi="ja-JP"/>
      </w:rPr>
    </w:lvl>
    <w:lvl w:ilvl="2" w:tplc="19229972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5A1C38E0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486487FA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1BB659D2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34F6300A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7DF45B90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0E30C5DE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abstractNum w:abstractNumId="4">
    <w:nsid w:val="44AE04B0"/>
    <w:multiLevelType w:val="hybridMultilevel"/>
    <w:tmpl w:val="2B8E59C0"/>
    <w:lvl w:ilvl="0" w:tplc="6C24FD1C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DFCC30D0">
      <w:numFmt w:val="bullet"/>
      <w:lvlText w:val="•"/>
      <w:lvlJc w:val="left"/>
      <w:pPr>
        <w:ind w:left="1638" w:hanging="316"/>
      </w:pPr>
      <w:rPr>
        <w:rFonts w:hint="default"/>
        <w:lang w:val="ja-JP" w:eastAsia="ja-JP" w:bidi="ja-JP"/>
      </w:rPr>
    </w:lvl>
    <w:lvl w:ilvl="2" w:tplc="0AD05106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D37266A6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547ED450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8AF09D02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D9D2E5BA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BCC43F86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6EDEA23E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abstractNum w:abstractNumId="5">
    <w:nsid w:val="4E3456E5"/>
    <w:multiLevelType w:val="hybridMultilevel"/>
    <w:tmpl w:val="991C5970"/>
    <w:lvl w:ilvl="0" w:tplc="7BCE2F06">
      <w:start w:val="1"/>
      <w:numFmt w:val="decimal"/>
      <w:lvlText w:val="%1."/>
      <w:lvlJc w:val="left"/>
      <w:pPr>
        <w:ind w:left="120" w:hanging="316"/>
        <w:jc w:val="left"/>
      </w:pPr>
      <w:rPr>
        <w:rFonts w:ascii="宋体" w:eastAsia="宋体" w:hAnsi="宋体" w:cs="宋体" w:hint="default"/>
        <w:spacing w:val="-46"/>
        <w:w w:val="99"/>
        <w:sz w:val="19"/>
        <w:szCs w:val="19"/>
        <w:lang w:val="ja-JP" w:eastAsia="ja-JP" w:bidi="ja-JP"/>
      </w:rPr>
    </w:lvl>
    <w:lvl w:ilvl="1" w:tplc="58029F90">
      <w:numFmt w:val="bullet"/>
      <w:lvlText w:val="•"/>
      <w:lvlJc w:val="left"/>
      <w:pPr>
        <w:ind w:left="972" w:hanging="316"/>
      </w:pPr>
      <w:rPr>
        <w:rFonts w:hint="default"/>
        <w:lang w:val="ja-JP" w:eastAsia="ja-JP" w:bidi="ja-JP"/>
      </w:rPr>
    </w:lvl>
    <w:lvl w:ilvl="2" w:tplc="CA9EAD86">
      <w:numFmt w:val="bullet"/>
      <w:lvlText w:val="•"/>
      <w:lvlJc w:val="left"/>
      <w:pPr>
        <w:ind w:left="1825" w:hanging="316"/>
      </w:pPr>
      <w:rPr>
        <w:rFonts w:hint="default"/>
        <w:lang w:val="ja-JP" w:eastAsia="ja-JP" w:bidi="ja-JP"/>
      </w:rPr>
    </w:lvl>
    <w:lvl w:ilvl="3" w:tplc="7FDE0A32">
      <w:numFmt w:val="bullet"/>
      <w:lvlText w:val="•"/>
      <w:lvlJc w:val="left"/>
      <w:pPr>
        <w:ind w:left="2677" w:hanging="316"/>
      </w:pPr>
      <w:rPr>
        <w:rFonts w:hint="default"/>
        <w:lang w:val="ja-JP" w:eastAsia="ja-JP" w:bidi="ja-JP"/>
      </w:rPr>
    </w:lvl>
    <w:lvl w:ilvl="4" w:tplc="A252D578">
      <w:numFmt w:val="bullet"/>
      <w:lvlText w:val="•"/>
      <w:lvlJc w:val="left"/>
      <w:pPr>
        <w:ind w:left="3530" w:hanging="316"/>
      </w:pPr>
      <w:rPr>
        <w:rFonts w:hint="default"/>
        <w:lang w:val="ja-JP" w:eastAsia="ja-JP" w:bidi="ja-JP"/>
      </w:rPr>
    </w:lvl>
    <w:lvl w:ilvl="5" w:tplc="EA685B7A">
      <w:numFmt w:val="bullet"/>
      <w:lvlText w:val="•"/>
      <w:lvlJc w:val="left"/>
      <w:pPr>
        <w:ind w:left="4383" w:hanging="316"/>
      </w:pPr>
      <w:rPr>
        <w:rFonts w:hint="default"/>
        <w:lang w:val="ja-JP" w:eastAsia="ja-JP" w:bidi="ja-JP"/>
      </w:rPr>
    </w:lvl>
    <w:lvl w:ilvl="6" w:tplc="F1641994">
      <w:numFmt w:val="bullet"/>
      <w:lvlText w:val="•"/>
      <w:lvlJc w:val="left"/>
      <w:pPr>
        <w:ind w:left="5235" w:hanging="316"/>
      </w:pPr>
      <w:rPr>
        <w:rFonts w:hint="default"/>
        <w:lang w:val="ja-JP" w:eastAsia="ja-JP" w:bidi="ja-JP"/>
      </w:rPr>
    </w:lvl>
    <w:lvl w:ilvl="7" w:tplc="C57CCF8C">
      <w:numFmt w:val="bullet"/>
      <w:lvlText w:val="•"/>
      <w:lvlJc w:val="left"/>
      <w:pPr>
        <w:ind w:left="6088" w:hanging="316"/>
      </w:pPr>
      <w:rPr>
        <w:rFonts w:hint="default"/>
        <w:lang w:val="ja-JP" w:eastAsia="ja-JP" w:bidi="ja-JP"/>
      </w:rPr>
    </w:lvl>
    <w:lvl w:ilvl="8" w:tplc="BE8A5F1A">
      <w:numFmt w:val="bullet"/>
      <w:lvlText w:val="•"/>
      <w:lvlJc w:val="left"/>
      <w:pPr>
        <w:ind w:left="6940" w:hanging="316"/>
      </w:pPr>
      <w:rPr>
        <w:rFonts w:hint="default"/>
        <w:lang w:val="ja-JP" w:eastAsia="ja-JP" w:bidi="ja-JP"/>
      </w:rPr>
    </w:lvl>
  </w:abstractNum>
  <w:abstractNum w:abstractNumId="6">
    <w:nsid w:val="64251C6F"/>
    <w:multiLevelType w:val="hybridMultilevel"/>
    <w:tmpl w:val="003A10B6"/>
    <w:lvl w:ilvl="0" w:tplc="92007D8C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CF64E99E">
      <w:numFmt w:val="bullet"/>
      <w:lvlText w:val="•"/>
      <w:lvlJc w:val="left"/>
      <w:pPr>
        <w:ind w:left="1638" w:hanging="316"/>
      </w:pPr>
      <w:rPr>
        <w:rFonts w:hint="default"/>
        <w:lang w:val="ja-JP" w:eastAsia="ja-JP" w:bidi="ja-JP"/>
      </w:rPr>
    </w:lvl>
    <w:lvl w:ilvl="2" w:tplc="1324AAB4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4CAEFE26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965E42FC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19202900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2C88D610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E39EBB3C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7C903BD6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abstractNum w:abstractNumId="7">
    <w:nsid w:val="71C86813"/>
    <w:multiLevelType w:val="hybridMultilevel"/>
    <w:tmpl w:val="C8D08EA2"/>
    <w:lvl w:ilvl="0" w:tplc="7018B4B2">
      <w:start w:val="1"/>
      <w:numFmt w:val="upperLetter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86CCC958">
      <w:start w:val="1"/>
      <w:numFmt w:val="decimal"/>
      <w:lvlText w:val="%2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2" w:tplc="B6A41F0A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4A6A5A50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3F9A6768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7E16A43A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E0585016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E7EA8856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B07C2410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abstractNum w:abstractNumId="8">
    <w:nsid w:val="7FDB39E8"/>
    <w:multiLevelType w:val="hybridMultilevel"/>
    <w:tmpl w:val="76F876E6"/>
    <w:lvl w:ilvl="0" w:tplc="E6A6111A">
      <w:start w:val="1"/>
      <w:numFmt w:val="decimal"/>
      <w:lvlText w:val="%1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1" w:tplc="821875CA">
      <w:start w:val="1"/>
      <w:numFmt w:val="upperLetter"/>
      <w:lvlText w:val="%2."/>
      <w:lvlJc w:val="left"/>
      <w:pPr>
        <w:ind w:left="855" w:hanging="316"/>
        <w:jc w:val="left"/>
      </w:pPr>
      <w:rPr>
        <w:rFonts w:ascii="宋体" w:eastAsia="宋体" w:hAnsi="宋体" w:cs="宋体" w:hint="default"/>
        <w:spacing w:val="-1"/>
        <w:w w:val="99"/>
        <w:sz w:val="19"/>
        <w:szCs w:val="19"/>
        <w:lang w:val="ja-JP" w:eastAsia="ja-JP" w:bidi="ja-JP"/>
      </w:rPr>
    </w:lvl>
    <w:lvl w:ilvl="2" w:tplc="2150418E">
      <w:numFmt w:val="bullet"/>
      <w:lvlText w:val="•"/>
      <w:lvlJc w:val="left"/>
      <w:pPr>
        <w:ind w:left="2417" w:hanging="316"/>
      </w:pPr>
      <w:rPr>
        <w:rFonts w:hint="default"/>
        <w:lang w:val="ja-JP" w:eastAsia="ja-JP" w:bidi="ja-JP"/>
      </w:rPr>
    </w:lvl>
    <w:lvl w:ilvl="3" w:tplc="4AFE687A">
      <w:numFmt w:val="bullet"/>
      <w:lvlText w:val="•"/>
      <w:lvlJc w:val="left"/>
      <w:pPr>
        <w:ind w:left="3195" w:hanging="316"/>
      </w:pPr>
      <w:rPr>
        <w:rFonts w:hint="default"/>
        <w:lang w:val="ja-JP" w:eastAsia="ja-JP" w:bidi="ja-JP"/>
      </w:rPr>
    </w:lvl>
    <w:lvl w:ilvl="4" w:tplc="86FE66F6">
      <w:numFmt w:val="bullet"/>
      <w:lvlText w:val="•"/>
      <w:lvlJc w:val="left"/>
      <w:pPr>
        <w:ind w:left="3974" w:hanging="316"/>
      </w:pPr>
      <w:rPr>
        <w:rFonts w:hint="default"/>
        <w:lang w:val="ja-JP" w:eastAsia="ja-JP" w:bidi="ja-JP"/>
      </w:rPr>
    </w:lvl>
    <w:lvl w:ilvl="5" w:tplc="691CC332">
      <w:numFmt w:val="bullet"/>
      <w:lvlText w:val="•"/>
      <w:lvlJc w:val="left"/>
      <w:pPr>
        <w:ind w:left="4753" w:hanging="316"/>
      </w:pPr>
      <w:rPr>
        <w:rFonts w:hint="default"/>
        <w:lang w:val="ja-JP" w:eastAsia="ja-JP" w:bidi="ja-JP"/>
      </w:rPr>
    </w:lvl>
    <w:lvl w:ilvl="6" w:tplc="D9B81CC6">
      <w:numFmt w:val="bullet"/>
      <w:lvlText w:val="•"/>
      <w:lvlJc w:val="left"/>
      <w:pPr>
        <w:ind w:left="5531" w:hanging="316"/>
      </w:pPr>
      <w:rPr>
        <w:rFonts w:hint="default"/>
        <w:lang w:val="ja-JP" w:eastAsia="ja-JP" w:bidi="ja-JP"/>
      </w:rPr>
    </w:lvl>
    <w:lvl w:ilvl="7" w:tplc="5FB66634">
      <w:numFmt w:val="bullet"/>
      <w:lvlText w:val="•"/>
      <w:lvlJc w:val="left"/>
      <w:pPr>
        <w:ind w:left="6310" w:hanging="316"/>
      </w:pPr>
      <w:rPr>
        <w:rFonts w:hint="default"/>
        <w:lang w:val="ja-JP" w:eastAsia="ja-JP" w:bidi="ja-JP"/>
      </w:rPr>
    </w:lvl>
    <w:lvl w:ilvl="8" w:tplc="36828B0E">
      <w:numFmt w:val="bullet"/>
      <w:lvlText w:val="•"/>
      <w:lvlJc w:val="left"/>
      <w:pPr>
        <w:ind w:left="7088" w:hanging="316"/>
      </w:pPr>
      <w:rPr>
        <w:rFonts w:hint="default"/>
        <w:lang w:val="ja-JP" w:eastAsia="ja-JP" w:bidi="ja-JP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6"/>
  </w:num>
  <w:num w:numId="5">
    <w:abstractNumId w:val="7"/>
  </w:num>
  <w:num w:numId="6">
    <w:abstractNumId w:val="0"/>
  </w:num>
  <w:num w:numId="7">
    <w:abstractNumId w:val="2"/>
  </w:num>
  <w:num w:numId="8">
    <w:abstractNumId w:val="8"/>
  </w:num>
  <w:num w:numId="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useFELayout/>
  </w:compat>
  <w:rsids>
    <w:rsidRoot w:val="00A47303"/>
    <w:rsid w:val="002877EE"/>
    <w:rsid w:val="00302F8B"/>
    <w:rsid w:val="003E2022"/>
    <w:rsid w:val="00A47303"/>
    <w:rsid w:val="00B518FA"/>
    <w:rsid w:val="00E720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47303"/>
    <w:rPr>
      <w:rFonts w:ascii="宋体" w:eastAsia="宋体" w:hAnsi="宋体" w:cs="宋体"/>
      <w:lang w:val="ja-JP" w:eastAsia="ja-JP" w:bidi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4730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47303"/>
    <w:pPr>
      <w:spacing w:before="43"/>
      <w:ind w:left="855" w:hanging="315"/>
    </w:pPr>
    <w:rPr>
      <w:sz w:val="21"/>
      <w:szCs w:val="21"/>
    </w:rPr>
  </w:style>
  <w:style w:type="paragraph" w:customStyle="1" w:styleId="Heading1">
    <w:name w:val="Heading 1"/>
    <w:basedOn w:val="a"/>
    <w:uiPriority w:val="1"/>
    <w:qFormat/>
    <w:rsid w:val="00A47303"/>
    <w:pPr>
      <w:ind w:left="2145"/>
      <w:outlineLvl w:val="1"/>
    </w:pPr>
    <w:rPr>
      <w:b/>
      <w:bCs/>
      <w:sz w:val="21"/>
      <w:szCs w:val="21"/>
    </w:rPr>
  </w:style>
  <w:style w:type="paragraph" w:styleId="a4">
    <w:name w:val="List Paragraph"/>
    <w:basedOn w:val="a"/>
    <w:uiPriority w:val="1"/>
    <w:qFormat/>
    <w:rsid w:val="00A47303"/>
    <w:pPr>
      <w:spacing w:before="43"/>
      <w:ind w:left="855" w:hanging="315"/>
    </w:pPr>
  </w:style>
  <w:style w:type="paragraph" w:customStyle="1" w:styleId="TableParagraph">
    <w:name w:val="Table Paragraph"/>
    <w:basedOn w:val="a"/>
    <w:uiPriority w:val="1"/>
    <w:qFormat/>
    <w:rsid w:val="00A47303"/>
  </w:style>
  <w:style w:type="paragraph" w:styleId="a5">
    <w:name w:val="header"/>
    <w:basedOn w:val="a"/>
    <w:link w:val="Char"/>
    <w:uiPriority w:val="99"/>
    <w:semiHidden/>
    <w:unhideWhenUsed/>
    <w:rsid w:val="003E202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3E2022"/>
    <w:rPr>
      <w:rFonts w:ascii="宋体" w:eastAsia="宋体" w:hAnsi="宋体" w:cs="宋体"/>
      <w:sz w:val="18"/>
      <w:szCs w:val="18"/>
      <w:lang w:val="ja-JP" w:eastAsia="ja-JP" w:bidi="ja-JP"/>
    </w:rPr>
  </w:style>
  <w:style w:type="paragraph" w:styleId="a6">
    <w:name w:val="footer"/>
    <w:basedOn w:val="a"/>
    <w:link w:val="Char0"/>
    <w:uiPriority w:val="99"/>
    <w:semiHidden/>
    <w:unhideWhenUsed/>
    <w:rsid w:val="003E2022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3E2022"/>
    <w:rPr>
      <w:rFonts w:ascii="宋体" w:eastAsia="宋体" w:hAnsi="宋体" w:cs="宋体"/>
      <w:sz w:val="18"/>
      <w:szCs w:val="18"/>
      <w:lang w:val="ja-JP" w:eastAsia="ja-JP" w:bidi="ja-JP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239</Words>
  <Characters>1365</Characters>
  <Application>Microsoft Office Word</Application>
  <DocSecurity>0</DocSecurity>
  <Lines>11</Lines>
  <Paragraphs>3</Paragraphs>
  <ScaleCrop>false</ScaleCrop>
  <Company>Microsoft</Company>
  <LinksUpToDate>false</LinksUpToDate>
  <CharactersWithSpaces>1601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Tsinghua</cp:lastModifiedBy>
  <cp:revision>2</cp:revision>
  <dcterms:created xsi:type="dcterms:W3CDTF">2020-04-23T09:39:00Z</dcterms:created>
  <dcterms:modified xsi:type="dcterms:W3CDTF">2020-04-23T09:39:00Z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2017-09-08T00:00:00Z</vt:filetime>
  </property>
  <property fmtid="{D5CDD505-2E9C-101B-9397-08002B2CF9AE}" pid="3" name="Creator">
    <vt:lpwstr>WPS Office</vt:lpwstr>
  </property>
  <property fmtid="{D5CDD505-2E9C-101B-9397-08002B2CF9AE}" pid="4" name="LastSaved">
    <vt:filetime>2020-04-23T00:00:00Z</vt:filetime>
  </property>
</Properties>
</file>