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Lines="100" w:line="500" w:lineRule="exact"/>
        <w:ind w:firstLine="198"/>
        <w:jc w:val="center"/>
        <w:rPr>
          <w:rFonts w:ascii="宋体" w:hAnsi="宋体" w:eastAsia="宋体" w:cs="宋体"/>
          <w:color w:val="000000"/>
          <w:sz w:val="36"/>
          <w:szCs w:val="36"/>
          <w:u w:val="none"/>
        </w:rPr>
      </w:pPr>
      <w:bookmarkStart w:id="0" w:name="_GoBack"/>
      <w:r>
        <w:rPr>
          <w:rFonts w:ascii="宋体" w:hAnsi="宋体" w:eastAsia="宋体" w:cs="宋体"/>
          <w:b/>
          <w:bCs/>
          <w:color w:val="000000"/>
          <w:sz w:val="36"/>
          <w:szCs w:val="36"/>
          <w:u w:val="none"/>
        </w:rPr>
        <w:t>20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u w:val="none"/>
        </w:rPr>
        <w:t>年法律硕士研究生招生专业目录</w:t>
      </w:r>
      <w:bookmarkEnd w:id="0"/>
    </w:p>
    <w:tbl>
      <w:tblPr>
        <w:tblStyle w:val="2"/>
        <w:tblW w:w="869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4755"/>
        <w:gridCol w:w="1605"/>
      </w:tblGrid>
      <w:tr>
        <w:tblPrEx>
          <w:tblLayout w:type="fixed"/>
        </w:tblPrEx>
        <w:trPr>
          <w:trHeight w:val="634" w:hRule="atLeast"/>
          <w:jc w:val="center"/>
        </w:trPr>
        <w:tc>
          <w:tcPr>
            <w:tcW w:w="2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2515A"/>
                <w:sz w:val="28"/>
                <w:szCs w:val="28"/>
                <w:u w:val="none"/>
              </w:rPr>
              <w:t>专业名称</w:t>
            </w:r>
          </w:p>
        </w:tc>
        <w:tc>
          <w:tcPr>
            <w:tcW w:w="4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2515A"/>
                <w:sz w:val="28"/>
                <w:szCs w:val="28"/>
                <w:u w:val="none"/>
              </w:rPr>
              <w:t>初试科目</w:t>
            </w:r>
          </w:p>
        </w:tc>
        <w:tc>
          <w:tcPr>
            <w:tcW w:w="1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2515A"/>
                <w:sz w:val="28"/>
                <w:szCs w:val="28"/>
                <w:u w:val="none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  <w:jc w:val="center"/>
        </w:trPr>
        <w:tc>
          <w:tcPr>
            <w:tcW w:w="23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  <w:t xml:space="preserve">035101 </w:t>
            </w:r>
          </w:p>
          <w:p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法律</w:t>
            </w:r>
            <w:r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  <w:t xml:space="preserve"> (</w:t>
            </w: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非法学</w:t>
            </w:r>
            <w:r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  <w:t>)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after="0" w:line="500" w:lineRule="exact"/>
              <w:jc w:val="both"/>
              <w:rPr>
                <w:rFonts w:ascii="宋体" w:hAnsi="宋体" w:eastAsia="宋体" w:cs="宋体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①</w:t>
            </w:r>
            <w:r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  <w:t>101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/>
              </w:rPr>
              <w:t>思想</w:t>
            </w:r>
            <w:r>
              <w:rPr>
                <w:u w:val="none"/>
              </w:rPr>
              <w:fldChar w:fldCharType="begin"/>
            </w:r>
            <w:r>
              <w:rPr>
                <w:u w:val="none"/>
              </w:rPr>
              <w:instrText xml:space="preserve"> HYPERLINK "http://www.kaoyan.com/s/zhengzhi/" </w:instrText>
            </w:r>
            <w:r>
              <w:rPr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/>
              </w:rPr>
              <w:t>理论</w:t>
            </w:r>
          </w:p>
          <w:p>
            <w:pPr>
              <w:adjustRightInd/>
              <w:snapToGrid/>
              <w:spacing w:after="0" w:line="500" w:lineRule="exact"/>
              <w:jc w:val="both"/>
              <w:rPr>
                <w:rFonts w:ascii="宋体" w:hAnsi="宋体" w:eastAsia="宋体" w:cs="宋体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/>
              </w:rPr>
              <w:t>②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  <w:u w:val="none"/>
              </w:rPr>
              <w:t>201</w:t>
            </w:r>
            <w:r>
              <w:rPr>
                <w:u w:val="none"/>
              </w:rPr>
              <w:fldChar w:fldCharType="begin"/>
            </w:r>
            <w:r>
              <w:rPr>
                <w:u w:val="none"/>
              </w:rPr>
              <w:instrText xml:space="preserve"> HYPERLINK "http://www.kaoyan.com/s/yingyu/" </w:instrText>
            </w:r>
            <w:r>
              <w:rPr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/>
              </w:rPr>
              <w:t>英语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/>
              </w:rPr>
              <w:t>一</w:t>
            </w:r>
          </w:p>
          <w:p>
            <w:pPr>
              <w:adjustRightInd/>
              <w:snapToGrid/>
              <w:spacing w:after="0" w:line="500" w:lineRule="exact"/>
              <w:ind w:left="31680" w:hanging="280" w:hangingChars="100"/>
              <w:jc w:val="both"/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/>
              </w:rPr>
              <w:t>③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  <w:u w:val="none"/>
              </w:rPr>
              <w:t>398</w:t>
            </w: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法硕联考专业基础（非法学）</w:t>
            </w:r>
          </w:p>
          <w:p>
            <w:pPr>
              <w:adjustRightInd/>
              <w:snapToGrid/>
              <w:spacing w:after="0" w:line="500" w:lineRule="exact"/>
              <w:ind w:left="31680" w:hanging="280" w:hangingChars="1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④498法硕联考综合（非法学）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全日制</w:t>
            </w:r>
          </w:p>
          <w:p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全国联考</w:t>
            </w:r>
          </w:p>
          <w:p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学制三年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  <w:jc w:val="center"/>
        </w:trPr>
        <w:tc>
          <w:tcPr>
            <w:tcW w:w="23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  <w:t>035102</w:t>
            </w:r>
          </w:p>
          <w:p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法律</w:t>
            </w:r>
            <w:r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  <w:t>(</w:t>
            </w: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法学</w:t>
            </w:r>
            <w:r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  <w:t>)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after="0" w:line="500" w:lineRule="exact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①</w:t>
            </w:r>
            <w:r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  <w:t>101</w:t>
            </w: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思想政治理论</w:t>
            </w:r>
          </w:p>
          <w:p>
            <w:pPr>
              <w:adjustRightInd/>
              <w:snapToGrid/>
              <w:spacing w:after="0" w:line="500" w:lineRule="exact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②</w:t>
            </w:r>
            <w:r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  <w:t>201</w:t>
            </w: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英语一</w:t>
            </w:r>
          </w:p>
          <w:p>
            <w:pPr>
              <w:adjustRightInd/>
              <w:snapToGrid/>
              <w:spacing w:after="0" w:line="500" w:lineRule="exact"/>
              <w:ind w:left="291" w:leftChars="5" w:hanging="280" w:hangingChars="100"/>
              <w:jc w:val="left"/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③397法硕联考专业基础（法学）</w:t>
            </w:r>
          </w:p>
          <w:p>
            <w:pPr>
              <w:adjustRightInd/>
              <w:snapToGrid/>
              <w:spacing w:after="0" w:line="500" w:lineRule="exact"/>
              <w:ind w:left="291" w:leftChars="5" w:hanging="280" w:hangingChars="100"/>
              <w:jc w:val="left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④497法硕联考综合（法学）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全日制</w:t>
            </w:r>
          </w:p>
          <w:p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全国联考</w:t>
            </w:r>
          </w:p>
          <w:p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学制两年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5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张铃stefanie</cp:lastModifiedBy>
  <dcterms:modified xsi:type="dcterms:W3CDTF">2019-09-12T01:26:17Z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