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068A" w:rsidRDefault="00D8068A" w:rsidP="00B45D8A">
      <w:pPr>
        <w:ind w:rightChars="-141" w:right="31680"/>
        <w:jc w:val="center"/>
        <w:rPr>
          <w:rFonts w:ascii="Times New Roman" w:eastAsia="方正小标宋简体" w:hAnsi="Times New Roman"/>
          <w:sz w:val="36"/>
          <w:szCs w:val="36"/>
        </w:rPr>
      </w:pPr>
      <w:r>
        <w:rPr>
          <w:rFonts w:ascii="Times New Roman" w:eastAsia="方正小标宋简体" w:hAnsi="Times New Roman" w:cs="方正小标宋简体" w:hint="eastAsia"/>
          <w:sz w:val="36"/>
          <w:szCs w:val="36"/>
        </w:rPr>
        <w:t>山东师范大学研究生</w:t>
      </w:r>
      <w:r>
        <w:rPr>
          <w:rFonts w:ascii="Times New Roman" w:eastAsia="方正小标宋简体" w:hAnsi="Times New Roman" w:cs="Times New Roman"/>
          <w:sz w:val="36"/>
          <w:szCs w:val="36"/>
        </w:rPr>
        <w:t>OMO</w:t>
      </w:r>
      <w:r>
        <w:rPr>
          <w:rFonts w:ascii="Times New Roman" w:eastAsia="方正小标宋简体" w:hAnsi="Times New Roman" w:cs="方正小标宋简体" w:hint="eastAsia"/>
          <w:sz w:val="36"/>
          <w:szCs w:val="36"/>
        </w:rPr>
        <w:t>课程建设</w:t>
      </w:r>
    </w:p>
    <w:p w:rsidR="00D8068A" w:rsidRDefault="00D8068A" w:rsidP="00B45D8A">
      <w:pPr>
        <w:ind w:rightChars="-141" w:right="31680"/>
        <w:jc w:val="center"/>
        <w:rPr>
          <w:rFonts w:ascii="Times New Roman" w:eastAsia="方正小标宋简体" w:hAnsi="Times New Roman"/>
          <w:sz w:val="36"/>
          <w:szCs w:val="36"/>
        </w:rPr>
      </w:pPr>
      <w:r>
        <w:rPr>
          <w:rFonts w:ascii="Times New Roman" w:eastAsia="方正小标宋简体" w:hAnsi="Times New Roman" w:cs="方正小标宋简体" w:hint="eastAsia"/>
          <w:sz w:val="36"/>
          <w:szCs w:val="36"/>
        </w:rPr>
        <w:t>终期评估指标体系</w:t>
      </w:r>
    </w:p>
    <w:p w:rsidR="00D8068A" w:rsidRDefault="00D8068A">
      <w:pPr>
        <w:jc w:val="center"/>
        <w:rPr>
          <w:rFonts w:ascii="Times New Roman" w:eastAsia="方正小标宋简体" w:hAnsi="Times New Roman"/>
          <w:sz w:val="36"/>
          <w:szCs w:val="36"/>
        </w:rPr>
      </w:pPr>
    </w:p>
    <w:tbl>
      <w:tblPr>
        <w:tblW w:w="9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71"/>
        <w:gridCol w:w="1451"/>
        <w:gridCol w:w="5066"/>
        <w:gridCol w:w="806"/>
        <w:gridCol w:w="787"/>
      </w:tblGrid>
      <w:tr w:rsidR="00D8068A" w:rsidRPr="004A2ACE">
        <w:trPr>
          <w:trHeight w:val="680"/>
          <w:jc w:val="center"/>
        </w:trPr>
        <w:tc>
          <w:tcPr>
            <w:tcW w:w="1271" w:type="dxa"/>
            <w:vAlign w:val="center"/>
          </w:tcPr>
          <w:p w:rsidR="00D8068A" w:rsidRPr="004A2ACE" w:rsidRDefault="00D8068A" w:rsidP="004A2ACE">
            <w:pPr>
              <w:jc w:val="center"/>
              <w:rPr>
                <w:rFonts w:ascii="黑体" w:eastAsia="黑体" w:hAnsi="黑体"/>
                <w:color w:val="000000"/>
              </w:rPr>
            </w:pPr>
            <w:r w:rsidRPr="004A2ACE">
              <w:rPr>
                <w:rFonts w:ascii="黑体" w:eastAsia="黑体" w:hAnsi="黑体" w:cs="黑体" w:hint="eastAsia"/>
                <w:color w:val="000000"/>
              </w:rPr>
              <w:t>一级指标</w:t>
            </w:r>
          </w:p>
        </w:tc>
        <w:tc>
          <w:tcPr>
            <w:tcW w:w="1451" w:type="dxa"/>
            <w:vAlign w:val="center"/>
          </w:tcPr>
          <w:p w:rsidR="00D8068A" w:rsidRPr="004A2ACE" w:rsidRDefault="00D8068A" w:rsidP="004A2ACE">
            <w:pPr>
              <w:jc w:val="center"/>
              <w:rPr>
                <w:rFonts w:ascii="黑体" w:eastAsia="黑体" w:hAnsi="黑体"/>
                <w:color w:val="000000"/>
              </w:rPr>
            </w:pPr>
            <w:r w:rsidRPr="004A2ACE">
              <w:rPr>
                <w:rFonts w:ascii="黑体" w:eastAsia="黑体" w:hAnsi="黑体" w:cs="黑体" w:hint="eastAsia"/>
                <w:color w:val="000000"/>
              </w:rPr>
              <w:t>二级指标</w:t>
            </w:r>
          </w:p>
        </w:tc>
        <w:tc>
          <w:tcPr>
            <w:tcW w:w="5066" w:type="dxa"/>
            <w:vAlign w:val="center"/>
          </w:tcPr>
          <w:p w:rsidR="00D8068A" w:rsidRPr="004A2ACE" w:rsidRDefault="00D8068A" w:rsidP="004A2ACE">
            <w:pPr>
              <w:jc w:val="center"/>
              <w:rPr>
                <w:rFonts w:ascii="黑体" w:eastAsia="黑体" w:hAnsi="黑体"/>
                <w:color w:val="000000"/>
              </w:rPr>
            </w:pPr>
            <w:r w:rsidRPr="004A2ACE">
              <w:rPr>
                <w:rFonts w:ascii="黑体" w:eastAsia="黑体" w:hAnsi="黑体" w:cs="黑体" w:hint="eastAsia"/>
                <w:color w:val="000000"/>
              </w:rPr>
              <w:t>三级指标</w:t>
            </w:r>
          </w:p>
        </w:tc>
        <w:tc>
          <w:tcPr>
            <w:tcW w:w="806" w:type="dxa"/>
            <w:vAlign w:val="center"/>
          </w:tcPr>
          <w:p w:rsidR="00D8068A" w:rsidRPr="004A2ACE" w:rsidRDefault="00D8068A" w:rsidP="004A2ACE">
            <w:pPr>
              <w:jc w:val="center"/>
              <w:rPr>
                <w:rFonts w:ascii="黑体" w:eastAsia="黑体" w:hAnsi="黑体"/>
                <w:color w:val="000000"/>
              </w:rPr>
            </w:pPr>
            <w:r w:rsidRPr="004A2ACE">
              <w:rPr>
                <w:rFonts w:ascii="黑体" w:eastAsia="黑体" w:hAnsi="黑体" w:cs="黑体" w:hint="eastAsia"/>
                <w:color w:val="000000"/>
              </w:rPr>
              <w:t>分值</w:t>
            </w:r>
          </w:p>
        </w:tc>
        <w:tc>
          <w:tcPr>
            <w:tcW w:w="787" w:type="dxa"/>
            <w:vAlign w:val="center"/>
          </w:tcPr>
          <w:p w:rsidR="00D8068A" w:rsidRPr="004A2ACE" w:rsidRDefault="00D8068A" w:rsidP="004A2ACE">
            <w:pPr>
              <w:jc w:val="center"/>
              <w:rPr>
                <w:rFonts w:ascii="黑体" w:eastAsia="黑体" w:hAnsi="黑体"/>
                <w:color w:val="000000"/>
              </w:rPr>
            </w:pPr>
            <w:r w:rsidRPr="004A2ACE">
              <w:rPr>
                <w:rFonts w:ascii="黑体" w:eastAsia="黑体" w:hAnsi="黑体" w:cs="黑体" w:hint="eastAsia"/>
                <w:color w:val="000000"/>
              </w:rPr>
              <w:t>赋分</w:t>
            </w:r>
          </w:p>
        </w:tc>
      </w:tr>
      <w:tr w:rsidR="00D8068A" w:rsidRPr="004A2ACE">
        <w:trPr>
          <w:trHeight w:val="680"/>
          <w:jc w:val="center"/>
        </w:trPr>
        <w:tc>
          <w:tcPr>
            <w:tcW w:w="1271" w:type="dxa"/>
            <w:vMerge w:val="restart"/>
            <w:vAlign w:val="center"/>
          </w:tcPr>
          <w:p w:rsidR="00D8068A" w:rsidRPr="004A2ACE" w:rsidRDefault="00D8068A" w:rsidP="004A2ACE">
            <w:pPr>
              <w:jc w:val="center"/>
              <w:rPr>
                <w:rFonts w:ascii="Times New Roman" w:hAnsi="Times New Roman" w:cs="Times New Roman"/>
                <w:color w:val="000000"/>
              </w:rPr>
            </w:pPr>
            <w:bookmarkStart w:id="0" w:name="_GoBack"/>
            <w:bookmarkEnd w:id="0"/>
            <w:r w:rsidRPr="004A2ACE">
              <w:rPr>
                <w:rFonts w:ascii="Times New Roman" w:hAnsi="Times New Roman" w:cs="宋体" w:hint="eastAsia"/>
                <w:color w:val="000000"/>
              </w:rPr>
              <w:t>课程设计</w:t>
            </w:r>
            <w:r w:rsidRPr="004A2ACE">
              <w:rPr>
                <w:rFonts w:ascii="Times New Roman" w:hAnsi="Times New Roman" w:cs="Times New Roman"/>
                <w:color w:val="000000"/>
              </w:rPr>
              <w:t>20%</w:t>
            </w: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课程理念</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课程凸显对研究生知识深化、研究能力培养、创新素养提升、科学与人文精神塑造</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课程目标</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课程目标明确、可评价</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学生需求</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课程设计考虑个性化学习需要</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教学设计</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重难点明确，并各学生提供解决方案指导</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课程线上线下时间安排适当</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学习任务与学习方法明确，可执行</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教学方法</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教学方法适合课程内容和学习者需要</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课程内容</w:t>
            </w:r>
            <w:r w:rsidRPr="004A2ACE">
              <w:rPr>
                <w:rFonts w:ascii="Times New Roman" w:hAnsi="Times New Roman" w:cs="Times New Roman"/>
                <w:color w:val="000000"/>
              </w:rPr>
              <w:t>10%</w:t>
            </w: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价值性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课程说明应明确在课程体系中的地位以及人才培养目标中的意义和价值</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一致性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课程内容与课程学习目标一致</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时效性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课程内容能够体现该领域的最新理论与实践进展</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逻辑性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内容的组织与编排符合该学科的内在逻辑体系和学生认识规律，各模块和单元之间内容划分合理</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开放性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教师可以根据需要对内容进行不同层次上的调整和组合</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扩展性</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针对教学和学习需要，提供与课程内容相关的资源链接</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学习资源</w:t>
            </w:r>
            <w:r w:rsidRPr="004A2ACE">
              <w:rPr>
                <w:rFonts w:ascii="Times New Roman" w:hAnsi="Times New Roman" w:cs="Times New Roman"/>
                <w:color w:val="000000"/>
              </w:rPr>
              <w:t>20%</w:t>
            </w: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学习任务单</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课前自主学习目标明确，可达成</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学习任务面向真实情境的问题解决，关注综合、分析、评价、创造能力培养与提升</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学习疑难与困惑在学习平台有明确的反馈位置</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课堂学习活动提前预告，并对学生的课堂学习活动需要的准备有明确要求</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微课资源</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微视频以讲授重难点的知识点为单位，符合科学性、技术性、艺术性的要求</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辅助资源</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提供与学习内容或学习活动相关的如演示文稿、电子书籍、期刊论文等辅助学习资源</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支持资源</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提供如研究性学习、研究方法等辅助开展研究性学习活动的支持资源</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学习活动</w:t>
            </w:r>
            <w:r w:rsidRPr="004A2ACE">
              <w:rPr>
                <w:rFonts w:ascii="Times New Roman" w:hAnsi="Times New Roman" w:cs="Times New Roman"/>
                <w:color w:val="000000"/>
              </w:rPr>
              <w:t>30%</w:t>
            </w: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在线学习</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课程平台界面风格统一，美观，导航设计见名知意，链接正常</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学习资源访问简便良好，链接正常</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为课前学习的疑难困惑提供明确讨论区，提供在线答疑</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教师或助教积极与学生开展在线交流互动</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课堂活动</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针对学生的疑难困惑进行针对性解答</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课堂活动的组织体现学生为主体，能调动学生参与的积极性和主动性</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课堂活动的组织能够促进学生的深度学习</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研究性学习活动</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组织学生构建研究性学习团队，辅助学生团队的建设与管理</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围绕课程内容设计的研究性学习选题具有较高的理论意义和实践价值</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15</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针对研究性学习活动需要提供诸如项目计划书写作、调查问卷设计、成果汇报等指导与帮助</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学习评价</w:t>
            </w:r>
            <w:r w:rsidRPr="004A2ACE">
              <w:rPr>
                <w:rFonts w:ascii="Times New Roman" w:hAnsi="Times New Roman" w:cs="Times New Roman"/>
                <w:color w:val="000000"/>
              </w:rPr>
              <w:t>20%</w:t>
            </w: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过程评价</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明确作业提交和截止时间</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ign w:val="center"/>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明确视频观看次数和进度的任务点</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vAlign w:val="center"/>
          </w:tcPr>
          <w:p w:rsidR="00D8068A" w:rsidRPr="004A2ACE" w:rsidRDefault="00D8068A" w:rsidP="004A2ACE">
            <w:pPr>
              <w:jc w:val="center"/>
              <w:rPr>
                <w:rFonts w:ascii="Times New Roman" w:hAnsi="Times New Roman" w:cs="Times New Roman"/>
                <w:color w:val="000000"/>
              </w:rPr>
            </w:pPr>
          </w:p>
        </w:tc>
        <w:tc>
          <w:tcPr>
            <w:tcW w:w="1451" w:type="dxa"/>
            <w:vMerge w:val="restart"/>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宋体" w:hint="eastAsia"/>
                <w:color w:val="000000"/>
              </w:rPr>
              <w:t>评价方式</w:t>
            </w: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明确说明获得学分的条件</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tcPr>
          <w:p w:rsidR="00D8068A" w:rsidRPr="004A2ACE" w:rsidRDefault="00D8068A" w:rsidP="004A2ACE">
            <w:pPr>
              <w:jc w:val="center"/>
              <w:rPr>
                <w:rFonts w:ascii="Times New Roman" w:hAnsi="Times New Roman" w:cs="Times New Roman"/>
                <w:color w:val="000000"/>
              </w:rPr>
            </w:pPr>
          </w:p>
        </w:tc>
        <w:tc>
          <w:tcPr>
            <w:tcW w:w="1451" w:type="dxa"/>
            <w:vMerge/>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详细说明课程线上活动和线下活动的分数组成情况</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tcPr>
          <w:p w:rsidR="00D8068A" w:rsidRPr="004A2ACE" w:rsidRDefault="00D8068A" w:rsidP="004A2ACE">
            <w:pPr>
              <w:jc w:val="center"/>
              <w:rPr>
                <w:rFonts w:ascii="Times New Roman" w:hAnsi="Times New Roman" w:cs="Times New Roman"/>
                <w:color w:val="000000"/>
              </w:rPr>
            </w:pPr>
          </w:p>
        </w:tc>
        <w:tc>
          <w:tcPr>
            <w:tcW w:w="1451" w:type="dxa"/>
            <w:vMerge/>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根据课程要求采用多元化的评价方式</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tcPr>
          <w:p w:rsidR="00D8068A" w:rsidRPr="004A2ACE" w:rsidRDefault="00D8068A" w:rsidP="004A2ACE">
            <w:pPr>
              <w:jc w:val="center"/>
              <w:rPr>
                <w:rFonts w:ascii="Times New Roman" w:hAnsi="Times New Roman" w:cs="Times New Roman"/>
                <w:color w:val="000000"/>
              </w:rPr>
            </w:pPr>
          </w:p>
        </w:tc>
        <w:tc>
          <w:tcPr>
            <w:tcW w:w="1451" w:type="dxa"/>
            <w:vMerge/>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B45D8A">
              <w:rPr>
                <w:rFonts w:ascii="Times New Roman" w:hAnsi="Times New Roman" w:cs="宋体" w:hint="eastAsia"/>
                <w:color w:val="000000"/>
                <w:highlight w:val="yellow"/>
              </w:rPr>
              <w:t>向学习者提供及时的反馈</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20</w:t>
            </w:r>
          </w:p>
        </w:tc>
        <w:tc>
          <w:tcPr>
            <w:tcW w:w="787" w:type="dxa"/>
          </w:tcPr>
          <w:p w:rsidR="00D8068A" w:rsidRPr="004A2ACE" w:rsidRDefault="00D8068A" w:rsidP="004A2ACE">
            <w:pPr>
              <w:jc w:val="center"/>
              <w:rPr>
                <w:rFonts w:ascii="Times New Roman" w:hAnsi="Times New Roman" w:cs="Times New Roman"/>
                <w:color w:val="000000"/>
              </w:rPr>
            </w:pPr>
          </w:p>
        </w:tc>
      </w:tr>
      <w:tr w:rsidR="00D8068A" w:rsidRPr="004A2ACE">
        <w:trPr>
          <w:trHeight w:val="680"/>
          <w:jc w:val="center"/>
        </w:trPr>
        <w:tc>
          <w:tcPr>
            <w:tcW w:w="1271" w:type="dxa"/>
            <w:vMerge/>
          </w:tcPr>
          <w:p w:rsidR="00D8068A" w:rsidRPr="004A2ACE" w:rsidRDefault="00D8068A" w:rsidP="004A2ACE">
            <w:pPr>
              <w:jc w:val="center"/>
              <w:rPr>
                <w:rFonts w:ascii="Times New Roman" w:hAnsi="Times New Roman" w:cs="Times New Roman"/>
                <w:color w:val="000000"/>
              </w:rPr>
            </w:pPr>
          </w:p>
        </w:tc>
        <w:tc>
          <w:tcPr>
            <w:tcW w:w="1451" w:type="dxa"/>
            <w:vMerge/>
          </w:tcPr>
          <w:p w:rsidR="00D8068A" w:rsidRPr="004A2ACE" w:rsidRDefault="00D8068A" w:rsidP="004A2ACE">
            <w:pPr>
              <w:jc w:val="center"/>
              <w:rPr>
                <w:rFonts w:ascii="Times New Roman" w:hAnsi="Times New Roman" w:cs="Times New Roman"/>
                <w:color w:val="000000"/>
              </w:rPr>
            </w:pPr>
          </w:p>
        </w:tc>
        <w:tc>
          <w:tcPr>
            <w:tcW w:w="5066" w:type="dxa"/>
            <w:vAlign w:val="center"/>
          </w:tcPr>
          <w:p w:rsidR="00D8068A" w:rsidRPr="004A2ACE" w:rsidRDefault="00D8068A">
            <w:pPr>
              <w:rPr>
                <w:rFonts w:ascii="Times New Roman" w:hAnsi="Times New Roman" w:cs="Times New Roman"/>
                <w:color w:val="000000"/>
              </w:rPr>
            </w:pPr>
            <w:r w:rsidRPr="004A2ACE">
              <w:rPr>
                <w:rFonts w:ascii="Times New Roman" w:hAnsi="Times New Roman" w:cs="宋体" w:hint="eastAsia"/>
                <w:color w:val="000000"/>
              </w:rPr>
              <w:t>同伴互评或自我评价活动有详细的评分标准</w:t>
            </w:r>
          </w:p>
        </w:tc>
        <w:tc>
          <w:tcPr>
            <w:tcW w:w="806" w:type="dxa"/>
            <w:vAlign w:val="center"/>
          </w:tcPr>
          <w:p w:rsidR="00D8068A" w:rsidRPr="004A2ACE" w:rsidRDefault="00D8068A" w:rsidP="004A2ACE">
            <w:pPr>
              <w:jc w:val="center"/>
              <w:rPr>
                <w:rFonts w:ascii="Times New Roman" w:hAnsi="Times New Roman" w:cs="Times New Roman"/>
                <w:color w:val="000000"/>
              </w:rPr>
            </w:pPr>
            <w:r w:rsidRPr="004A2ACE">
              <w:rPr>
                <w:rFonts w:ascii="Times New Roman" w:hAnsi="Times New Roman" w:cs="Times New Roman"/>
                <w:color w:val="000000"/>
              </w:rPr>
              <w:t>10</w:t>
            </w:r>
          </w:p>
        </w:tc>
        <w:tc>
          <w:tcPr>
            <w:tcW w:w="787" w:type="dxa"/>
          </w:tcPr>
          <w:p w:rsidR="00D8068A" w:rsidRPr="004A2ACE" w:rsidRDefault="00D8068A" w:rsidP="004A2ACE">
            <w:pPr>
              <w:jc w:val="center"/>
              <w:rPr>
                <w:rFonts w:ascii="Times New Roman" w:hAnsi="Times New Roman" w:cs="Times New Roman"/>
                <w:color w:val="000000"/>
              </w:rPr>
            </w:pPr>
          </w:p>
        </w:tc>
      </w:tr>
    </w:tbl>
    <w:p w:rsidR="00D8068A" w:rsidRDefault="00D8068A">
      <w:pPr>
        <w:spacing w:line="360" w:lineRule="auto"/>
        <w:rPr>
          <w:rFonts w:ascii="Times New Roman" w:hAnsi="Times New Roman" w:cs="Times New Roman"/>
        </w:rPr>
      </w:pPr>
    </w:p>
    <w:p w:rsidR="00D8068A" w:rsidRDefault="00D8068A">
      <w:pPr>
        <w:spacing w:line="360" w:lineRule="auto"/>
        <w:rPr>
          <w:rFonts w:ascii="Times New Roman" w:hAnsi="Times New Roman" w:cs="Times New Roman"/>
        </w:rPr>
      </w:pPr>
      <w:r>
        <w:rPr>
          <w:rFonts w:ascii="Times New Roman" w:hAnsi="Times New Roman" w:cs="宋体" w:hint="eastAsia"/>
        </w:rPr>
        <w:t>注：各一级指标满分</w:t>
      </w:r>
      <w:r>
        <w:rPr>
          <w:rFonts w:ascii="Times New Roman" w:hAnsi="Times New Roman" w:cs="Times New Roman"/>
        </w:rPr>
        <w:t>100</w:t>
      </w:r>
      <w:r>
        <w:rPr>
          <w:rFonts w:ascii="Times New Roman" w:hAnsi="Times New Roman" w:cs="宋体" w:hint="eastAsia"/>
        </w:rPr>
        <w:t>分。</w:t>
      </w:r>
    </w:p>
    <w:sectPr w:rsidR="00D8068A" w:rsidSect="00056148">
      <w:pgSz w:w="11900" w:h="16840"/>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um"/>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embedSystemFonts/>
  <w:bordersDoNotSurroundHeader/>
  <w:bordersDoNotSurroundFooter/>
  <w:defaultTabStop w:val="420"/>
  <w:doNotHyphenateCaps/>
  <w:drawingGridVerticalSpacing w:val="200"/>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0ECE"/>
    <w:rsid w:val="00031202"/>
    <w:rsid w:val="00056148"/>
    <w:rsid w:val="000768A3"/>
    <w:rsid w:val="00120570"/>
    <w:rsid w:val="00126B86"/>
    <w:rsid w:val="001F07A1"/>
    <w:rsid w:val="001F349B"/>
    <w:rsid w:val="002B0205"/>
    <w:rsid w:val="002C3D44"/>
    <w:rsid w:val="003222FE"/>
    <w:rsid w:val="0032232D"/>
    <w:rsid w:val="003E1409"/>
    <w:rsid w:val="004965BB"/>
    <w:rsid w:val="004A2ACE"/>
    <w:rsid w:val="004C4F1D"/>
    <w:rsid w:val="00514DC6"/>
    <w:rsid w:val="005A392A"/>
    <w:rsid w:val="005F648D"/>
    <w:rsid w:val="00675AA6"/>
    <w:rsid w:val="006C3786"/>
    <w:rsid w:val="006F7F85"/>
    <w:rsid w:val="00780360"/>
    <w:rsid w:val="007E6273"/>
    <w:rsid w:val="007F2328"/>
    <w:rsid w:val="00870ECE"/>
    <w:rsid w:val="00944570"/>
    <w:rsid w:val="00A075AF"/>
    <w:rsid w:val="00A43F84"/>
    <w:rsid w:val="00AE76B2"/>
    <w:rsid w:val="00AF0B0D"/>
    <w:rsid w:val="00B45D8A"/>
    <w:rsid w:val="00B63298"/>
    <w:rsid w:val="00BC2441"/>
    <w:rsid w:val="00C820AC"/>
    <w:rsid w:val="00C97756"/>
    <w:rsid w:val="00CA4941"/>
    <w:rsid w:val="00D5371E"/>
    <w:rsid w:val="00D8068A"/>
    <w:rsid w:val="00DF0E57"/>
    <w:rsid w:val="00E164EE"/>
    <w:rsid w:val="00E749EF"/>
    <w:rsid w:val="00EB610A"/>
    <w:rsid w:val="00EC4AAA"/>
    <w:rsid w:val="00EC6D1C"/>
    <w:rsid w:val="137E6DCF"/>
    <w:rsid w:val="2AFB5D3C"/>
    <w:rsid w:val="368E6229"/>
    <w:rsid w:val="561D7BDE"/>
    <w:rsid w:val="66344871"/>
    <w:rsid w:val="73D33598"/>
    <w:rsid w:val="786E6CBD"/>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locked="1" w:semiHidden="0" w:uiPriority="0" w:unhideWhenUsed="0"/>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6148"/>
    <w:pPr>
      <w:widowControl w:val="0"/>
      <w:jc w:val="both"/>
    </w:pPr>
    <w:rPr>
      <w:rFonts w:cs="Calibri"/>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056148"/>
    <w:pPr>
      <w:jc w:val="left"/>
    </w:pPr>
  </w:style>
  <w:style w:type="character" w:customStyle="1" w:styleId="CommentTextChar">
    <w:name w:val="Comment Text Char"/>
    <w:basedOn w:val="DefaultParagraphFont"/>
    <w:link w:val="CommentText"/>
    <w:uiPriority w:val="99"/>
    <w:semiHidden/>
    <w:locked/>
    <w:rsid w:val="00056148"/>
  </w:style>
  <w:style w:type="paragraph" w:styleId="BalloonText">
    <w:name w:val="Balloon Text"/>
    <w:basedOn w:val="Normal"/>
    <w:link w:val="BalloonTextChar"/>
    <w:uiPriority w:val="99"/>
    <w:semiHidden/>
    <w:rsid w:val="00056148"/>
    <w:rPr>
      <w:sz w:val="18"/>
      <w:szCs w:val="18"/>
    </w:rPr>
  </w:style>
  <w:style w:type="character" w:customStyle="1" w:styleId="BalloonTextChar">
    <w:name w:val="Balloon Text Char"/>
    <w:basedOn w:val="DefaultParagraphFont"/>
    <w:link w:val="BalloonText"/>
    <w:uiPriority w:val="99"/>
    <w:semiHidden/>
    <w:locked/>
    <w:rsid w:val="00056148"/>
    <w:rPr>
      <w:sz w:val="18"/>
      <w:szCs w:val="18"/>
    </w:rPr>
  </w:style>
  <w:style w:type="paragraph" w:styleId="Footer">
    <w:name w:val="footer"/>
    <w:basedOn w:val="Normal"/>
    <w:link w:val="FooterChar"/>
    <w:uiPriority w:val="99"/>
    <w:semiHidden/>
    <w:rsid w:val="00056148"/>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056148"/>
    <w:rPr>
      <w:kern w:val="2"/>
      <w:sz w:val="18"/>
      <w:szCs w:val="18"/>
    </w:rPr>
  </w:style>
  <w:style w:type="paragraph" w:styleId="Header">
    <w:name w:val="header"/>
    <w:basedOn w:val="Normal"/>
    <w:link w:val="HeaderChar"/>
    <w:uiPriority w:val="99"/>
    <w:semiHidden/>
    <w:rsid w:val="00056148"/>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056148"/>
    <w:rPr>
      <w:kern w:val="2"/>
      <w:sz w:val="18"/>
      <w:szCs w:val="18"/>
    </w:rPr>
  </w:style>
  <w:style w:type="paragraph" w:styleId="CommentSubject">
    <w:name w:val="annotation subject"/>
    <w:basedOn w:val="CommentText"/>
    <w:next w:val="CommentText"/>
    <w:link w:val="CommentSubjectChar"/>
    <w:uiPriority w:val="99"/>
    <w:semiHidden/>
    <w:rsid w:val="00056148"/>
    <w:rPr>
      <w:b/>
      <w:bCs/>
    </w:rPr>
  </w:style>
  <w:style w:type="character" w:customStyle="1" w:styleId="CommentSubjectChar">
    <w:name w:val="Comment Subject Char"/>
    <w:basedOn w:val="CommentTextChar"/>
    <w:link w:val="CommentSubject"/>
    <w:uiPriority w:val="99"/>
    <w:semiHidden/>
    <w:locked/>
    <w:rsid w:val="00056148"/>
    <w:rPr>
      <w:b/>
      <w:bCs/>
    </w:rPr>
  </w:style>
  <w:style w:type="table" w:styleId="TableGrid">
    <w:name w:val="Table Grid"/>
    <w:basedOn w:val="TableNormal"/>
    <w:uiPriority w:val="99"/>
    <w:rsid w:val="00056148"/>
    <w:rPr>
      <w:rFonts w:cs="Calibri"/>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basedOn w:val="DefaultParagraphFont"/>
    <w:uiPriority w:val="99"/>
    <w:semiHidden/>
    <w:rsid w:val="00056148"/>
    <w:rPr>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TotalTime>
  <Pages>3</Pages>
  <Words>193</Words>
  <Characters>1105</Characters>
  <Application>Microsoft Office Outlook</Application>
  <DocSecurity>0</DocSecurity>
  <Lines>0</Lines>
  <Paragraphs>0</Paragraphs>
  <ScaleCrop>false</ScaleCrop>
  <Company>Sky123.Org</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用户</dc:creator>
  <cp:keywords/>
  <dc:description/>
  <cp:lastModifiedBy>SunMeng</cp:lastModifiedBy>
  <cp:revision>8</cp:revision>
  <dcterms:created xsi:type="dcterms:W3CDTF">2017-09-29T00:50:00Z</dcterms:created>
  <dcterms:modified xsi:type="dcterms:W3CDTF">2020-06-07T12:49:00Z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