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北部湾大学2021年硕士研究生招生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《船舶原理与结构》考试大纲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1"/>
        </w:rPr>
      </w:pPr>
      <w:r>
        <w:rPr>
          <w:rFonts w:hint="default" w:ascii="Times New Roman" w:hAnsi="Times New Roman" w:cs="Times New Roman"/>
          <w:b w:val="0"/>
          <w:bCs/>
          <w:sz w:val="28"/>
          <w:szCs w:val="21"/>
        </w:rPr>
        <w:t>I.考试性质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highlight w:val="none"/>
        </w:rPr>
        <w:t>《船舶原理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highlight w:val="none"/>
          <w:lang w:eastAsia="zh-CN"/>
        </w:rPr>
        <w:t>与结构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highlight w:val="none"/>
        </w:rPr>
        <w:t>》是为高等院校和科研院所招收船舶与海洋工程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highlight w:val="none"/>
          <w:lang w:eastAsia="zh-CN"/>
        </w:rPr>
        <w:t>一级学科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highlight w:val="none"/>
        </w:rPr>
        <w:t>硕士研究生而设置的具有选拔性质的专业科目。其目的是科学、公平、有效地测试考生是否具备继续攻读船舶与海洋工程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highlight w:val="none"/>
          <w:lang w:eastAsia="zh-CN"/>
        </w:rPr>
        <w:t>一级学科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highlight w:val="none"/>
        </w:rPr>
        <w:t>硕士学位所需要的知识和能力要求，评价的标准是高等学校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highlight w:val="none"/>
          <w:lang w:eastAsia="zh-CN"/>
        </w:rPr>
        <w:t>工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highlight w:val="none"/>
        </w:rPr>
        <w:t>学学科优秀本科毕业生所能达到的及格或及格以上水平，以利于各高等院校和科研院所择优选拔，确保硕士研究生的招生质量。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1"/>
        </w:rPr>
      </w:pPr>
      <w:r>
        <w:rPr>
          <w:rFonts w:hint="default" w:ascii="Times New Roman" w:hAnsi="Times New Roman" w:cs="Times New Roman"/>
          <w:b w:val="0"/>
          <w:bCs/>
          <w:sz w:val="28"/>
          <w:szCs w:val="21"/>
        </w:rPr>
        <w:t>II.考查目标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《船舶原理与结构》考试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包含船舶原理与船体结构两个部分，船舶原理包括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船舶的类型、船体形状、主要尺度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浮性、稳性、快速性、抗沉性、阻力、推进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操纵性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耐波性等内容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；船体结构主要包括船舶类型与特点，如船体结构的一般知识、外板和甲板板、船底结构、舷侧结构、甲板结构、舱壁结构、艏艉端结构、上层建筑和机舱棚结构、典型船舶结构特点等。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要求考生比较系统地理解和掌握船舶与海洋工程的基础知识、基本理论和基本方法，能够分析、判断和解决有关理论和实际问题。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1"/>
        </w:rPr>
      </w:pPr>
      <w:r>
        <w:rPr>
          <w:rFonts w:hint="default" w:ascii="Times New Roman" w:hAnsi="Times New Roman" w:cs="Times New Roman"/>
          <w:b w:val="0"/>
          <w:bCs/>
          <w:sz w:val="28"/>
          <w:szCs w:val="21"/>
        </w:rPr>
        <w:t>III.考试形式和试卷结构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一、试卷满分及考试时间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本试卷满分为150分，考试时间为180分钟。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二、答题方式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答题方式为闭卷、笔试。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三、试卷内容结构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 xml:space="preserve">船舶静力学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 xml:space="preserve">0%  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船舶阻力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 xml:space="preserve">0%  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船体结构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0%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四、试卷题型结构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单项选择题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</w:rPr>
        <w:t>小题，每小题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</w:rPr>
        <w:t>分，共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</w:rPr>
        <w:t>0分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lang w:eastAsia="zh-CN"/>
        </w:rPr>
        <w:t>判断题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15小题，每小题2分，共30分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填空题20空，每空1分，共20分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微软雅黑" w:cs="Times New Roman"/>
          <w:color w:val="FF0000"/>
          <w:sz w:val="20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</w:rPr>
        <w:t>计算、问答题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</w:rPr>
        <w:t>小题，共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</w:rPr>
        <w:t>0分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1"/>
        </w:rPr>
      </w:pPr>
      <w:r>
        <w:rPr>
          <w:rFonts w:hint="default" w:ascii="Times New Roman" w:hAnsi="Times New Roman" w:cs="Times New Roman"/>
          <w:b w:val="0"/>
          <w:bCs/>
          <w:sz w:val="28"/>
          <w:szCs w:val="21"/>
        </w:rPr>
        <w:t>IV.参考书目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1.《船舶原理》上、下册，盛振邦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</w:rPr>
        <w:t>刘应中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</w:rPr>
        <w:t>上海交通大学出版社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</w:rPr>
        <w:t>2003　　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</w:rPr>
        <w:t>《船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体结构</w:t>
      </w:r>
      <w:r>
        <w:rPr>
          <w:rFonts w:hint="default" w:ascii="Times New Roman" w:hAnsi="Times New Roman" w:eastAsia="仿宋_GB2312" w:cs="Times New Roman"/>
          <w:color w:val="000000"/>
        </w:rPr>
        <w:t>》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（第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2版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000000"/>
        </w:rPr>
        <w:t>魏莉洁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，哈尔滨工程大学出版社，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2014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备注：考生也可以根据考试大纲自行选择参考。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1"/>
        </w:rPr>
      </w:pPr>
      <w:r>
        <w:rPr>
          <w:rFonts w:hint="default" w:ascii="Times New Roman" w:hAnsi="Times New Roman" w:cs="Times New Roman"/>
          <w:b w:val="0"/>
          <w:bCs/>
          <w:sz w:val="28"/>
          <w:szCs w:val="21"/>
        </w:rPr>
        <w:t>V.考查范围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船舶原理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与结构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考试内容主要包括：船舶静力学、船舶阻力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、船舶结构类型与特点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。要求考生掌握船舶原理的基础知识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基本理论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、船体结构特点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，具有独立分析解决有关船舶性能问题的能力。</w:t>
      </w:r>
    </w:p>
    <w:p>
      <w:pPr>
        <w:pStyle w:val="3"/>
        <w:keepNext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船舶静力学</w:t>
      </w:r>
    </w:p>
    <w:p>
      <w:pPr>
        <w:pStyle w:val="4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船舶浮性、稳性的基本概念；船舶静稳性；船舶动稳性；船舶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抗沉性。</w:t>
      </w:r>
    </w:p>
    <w:p>
      <w:pPr>
        <w:pStyle w:val="4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1.掌握船舶浮性、稳性的基本概念。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2.稳性的一般概念，初稳性公式的建立，初稳性公式的应用，初稳性公式的推导；重物移动、增减对稳性的影响，浮吊及自由液面对稳性的影响，浮态及初稳性的计算。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3.船舶大倾角稳性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大倾角稳性的概念及表达方法；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静稳性曲线及动稳性曲线的特征参数及计算方法；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动稳性的概念及表达方法；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稳性基本衡准方法及应用，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IMO建议的稳性衡准原则。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抗沉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性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、渗透率、可浸长度、分舱因素、许用舱长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的概念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3"/>
        <w:keepNext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船舶阻力</w:t>
      </w:r>
    </w:p>
    <w:p>
      <w:pPr>
        <w:pStyle w:val="4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考试内容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船舶阻力的基本概念；船舶阻力的确定方法；船型对阻力的影响；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船模阻力试验。</w:t>
      </w:r>
    </w:p>
    <w:p>
      <w:pPr>
        <w:pStyle w:val="4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1.掌握船舶阻力的分类，阻力(摩擦阻力、粘压阻力、兴波阻力)产生的机理、特性，曲度影响，粗糙度影响，附体阻力的特点及确定方法。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2.掌握船模阻力试验方法，阻力换算方法(傅汝德换算法、1+k法)，阻力近似计算的概念及方法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中的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海军系数法。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3.掌握船型变化及船型参数，主尺度及船型系数的影响，横剖面面积曲线形状的影响，满载水线形状的影响，首尾端形状的影响。</w:t>
      </w:r>
    </w:p>
    <w:p>
      <w:pPr>
        <w:pStyle w:val="3"/>
        <w:keepNext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1"/>
        </w:rPr>
      </w:pPr>
      <w:r>
        <w:rPr>
          <w:rFonts w:hint="default" w:ascii="Times New Roman" w:hAnsi="Times New Roman" w:cs="Times New Roman"/>
          <w:sz w:val="28"/>
          <w:szCs w:val="21"/>
        </w:rPr>
        <w:t>船</w:t>
      </w:r>
      <w:r>
        <w:rPr>
          <w:rFonts w:hint="default" w:ascii="Times New Roman" w:hAnsi="Times New Roman" w:cs="Times New Roman"/>
          <w:sz w:val="28"/>
          <w:szCs w:val="21"/>
          <w:lang w:eastAsia="zh-CN"/>
        </w:rPr>
        <w:t>体结构</w:t>
      </w:r>
    </w:p>
    <w:p>
      <w:pPr>
        <w:pStyle w:val="3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eastAsia="楷体" w:cs="Times New Roman"/>
          <w:sz w:val="28"/>
          <w:szCs w:val="21"/>
          <w:lang w:eastAsia="zh-CN"/>
        </w:rPr>
      </w:pPr>
      <w:r>
        <w:rPr>
          <w:rFonts w:hint="default" w:ascii="Times New Roman" w:hAnsi="Times New Roman" w:cs="Times New Roman"/>
          <w:sz w:val="28"/>
          <w:szCs w:val="21"/>
        </w:rPr>
        <w:t>考</w:t>
      </w:r>
      <w:r>
        <w:rPr>
          <w:rFonts w:hint="default" w:ascii="Times New Roman" w:hAnsi="Times New Roman" w:cs="Times New Roman"/>
          <w:sz w:val="28"/>
          <w:szCs w:val="21"/>
          <w:lang w:eastAsia="zh-CN"/>
        </w:rPr>
        <w:t>试内容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要点一：船舶的类型与特点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1.船舶分类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；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2.船舶类型及特点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要点二：船体结构的一般知识</w:t>
      </w:r>
    </w:p>
    <w:p>
      <w:pPr>
        <w:pStyle w:val="3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作用在船体上的力及强度概念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；</w:t>
      </w:r>
    </w:p>
    <w:p>
      <w:pPr>
        <w:pStyle w:val="3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2.船体结构材料及构件连接方式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；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3.船体结构型式分类及其优缺点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要点三：船体各部分结构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1.外板和甲板板的结构型式、构件组成、构件名称、作用和受力情况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；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2.船底结构的结构型式、构件组成、构件名称、作用和受力情况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；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3.舷侧结构的结构型式、构件组成、构件名称、作用和受力情况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；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4.甲板结构的结构型式、构件组成、构件名称、作用和受力情况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；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5.舱壁结构的结构型式、构件组成、构件名称、作用和受力情况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1"/>
        </w:rPr>
        <w:t>考试要求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1.了解和掌握船舶的分类要求，船舶主要类型及其特点。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掌握船体结构的一般知识，受力特点、强度概念;并能够以船体受力和强度为出发点，理解掌握典型船舶结构型式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  <w:t>掌握船体各部分结构形式、构件组成、构件名称、作用和受力情况以及对结构的要求。</w:t>
      </w:r>
      <w:bookmarkStart w:id="0" w:name="_GoBack"/>
      <w:bookmarkEnd w:id="0"/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szCs w:val="24"/>
        </w:rPr>
      </w:pPr>
    </w:p>
    <w:p>
      <w:pPr>
        <w:pStyle w:val="7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</w:p>
    <w:p>
      <w:pPr>
        <w:pStyle w:val="7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</w:p>
    <w:p>
      <w:pPr>
        <w:pStyle w:val="7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</w:p>
    <w:p>
      <w:pPr>
        <w:pStyle w:val="7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CDA"/>
    <w:multiLevelType w:val="multilevel"/>
    <w:tmpl w:val="0C780CDA"/>
    <w:lvl w:ilvl="0" w:tentative="0">
      <w:start w:val="1"/>
      <w:numFmt w:val="chineseCountingThousand"/>
      <w:lvlText w:val="(%1)"/>
      <w:lvlJc w:val="left"/>
      <w:pPr>
        <w:ind w:left="982" w:hanging="420"/>
      </w:p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A1"/>
    <w:rsid w:val="00726E4C"/>
    <w:rsid w:val="007B5E74"/>
    <w:rsid w:val="00815BA1"/>
    <w:rsid w:val="00875680"/>
    <w:rsid w:val="008C5D59"/>
    <w:rsid w:val="008D035B"/>
    <w:rsid w:val="00906E52"/>
    <w:rsid w:val="009A0A9D"/>
    <w:rsid w:val="00CF0C9E"/>
    <w:rsid w:val="00F3548B"/>
    <w:rsid w:val="051F1CE6"/>
    <w:rsid w:val="08AA3B06"/>
    <w:rsid w:val="090F5AFD"/>
    <w:rsid w:val="0C565392"/>
    <w:rsid w:val="107124B3"/>
    <w:rsid w:val="11F2416C"/>
    <w:rsid w:val="13CC7762"/>
    <w:rsid w:val="141D1B0B"/>
    <w:rsid w:val="1643636B"/>
    <w:rsid w:val="169A6EAD"/>
    <w:rsid w:val="16C95E56"/>
    <w:rsid w:val="17B47479"/>
    <w:rsid w:val="19D748E1"/>
    <w:rsid w:val="19DA4675"/>
    <w:rsid w:val="19DB37CF"/>
    <w:rsid w:val="1AE30E4A"/>
    <w:rsid w:val="1B6B1958"/>
    <w:rsid w:val="1C3D2E25"/>
    <w:rsid w:val="1CD43AAB"/>
    <w:rsid w:val="1D7A44A6"/>
    <w:rsid w:val="1F9C738D"/>
    <w:rsid w:val="1FFC5F82"/>
    <w:rsid w:val="21404FC6"/>
    <w:rsid w:val="21700012"/>
    <w:rsid w:val="24025FD1"/>
    <w:rsid w:val="2673008C"/>
    <w:rsid w:val="28E1150E"/>
    <w:rsid w:val="29545FCD"/>
    <w:rsid w:val="2B961F9E"/>
    <w:rsid w:val="2CC913C0"/>
    <w:rsid w:val="2D6015A7"/>
    <w:rsid w:val="2E2B167A"/>
    <w:rsid w:val="2E3E0F12"/>
    <w:rsid w:val="2F296BE8"/>
    <w:rsid w:val="2F2C7F92"/>
    <w:rsid w:val="2F300EE8"/>
    <w:rsid w:val="310C1F10"/>
    <w:rsid w:val="316D4EB8"/>
    <w:rsid w:val="32F87F21"/>
    <w:rsid w:val="333E1A03"/>
    <w:rsid w:val="33B5537F"/>
    <w:rsid w:val="33D73936"/>
    <w:rsid w:val="34544FB4"/>
    <w:rsid w:val="35657B31"/>
    <w:rsid w:val="356D18AD"/>
    <w:rsid w:val="3633183F"/>
    <w:rsid w:val="37E4597A"/>
    <w:rsid w:val="382E2A95"/>
    <w:rsid w:val="3A7C66B3"/>
    <w:rsid w:val="3B090000"/>
    <w:rsid w:val="3B4B2883"/>
    <w:rsid w:val="3B613D0A"/>
    <w:rsid w:val="3C8D42AA"/>
    <w:rsid w:val="3CA86E2B"/>
    <w:rsid w:val="3F550C78"/>
    <w:rsid w:val="3FBB72DA"/>
    <w:rsid w:val="40073283"/>
    <w:rsid w:val="41DF3145"/>
    <w:rsid w:val="43FE3F01"/>
    <w:rsid w:val="444F3F82"/>
    <w:rsid w:val="4477311D"/>
    <w:rsid w:val="453F40E1"/>
    <w:rsid w:val="461C3AEC"/>
    <w:rsid w:val="47A232DC"/>
    <w:rsid w:val="480A47AF"/>
    <w:rsid w:val="48506E1C"/>
    <w:rsid w:val="48B8500E"/>
    <w:rsid w:val="49174674"/>
    <w:rsid w:val="49B95770"/>
    <w:rsid w:val="4BB65CA3"/>
    <w:rsid w:val="4C981A9C"/>
    <w:rsid w:val="4CA3469F"/>
    <w:rsid w:val="4D5819A6"/>
    <w:rsid w:val="4E0720F1"/>
    <w:rsid w:val="4E69709F"/>
    <w:rsid w:val="50154424"/>
    <w:rsid w:val="507F50FF"/>
    <w:rsid w:val="50935F7D"/>
    <w:rsid w:val="520B5754"/>
    <w:rsid w:val="528D6E13"/>
    <w:rsid w:val="5305113D"/>
    <w:rsid w:val="53196256"/>
    <w:rsid w:val="544678EB"/>
    <w:rsid w:val="56C54BCC"/>
    <w:rsid w:val="57351E0F"/>
    <w:rsid w:val="574740AD"/>
    <w:rsid w:val="57BD2670"/>
    <w:rsid w:val="58546E37"/>
    <w:rsid w:val="585C4574"/>
    <w:rsid w:val="58900FD7"/>
    <w:rsid w:val="58D11114"/>
    <w:rsid w:val="59145F7C"/>
    <w:rsid w:val="59DA1566"/>
    <w:rsid w:val="5ACE2EE0"/>
    <w:rsid w:val="5AF64791"/>
    <w:rsid w:val="5B115243"/>
    <w:rsid w:val="611560AA"/>
    <w:rsid w:val="614940EC"/>
    <w:rsid w:val="65782C09"/>
    <w:rsid w:val="65A742B5"/>
    <w:rsid w:val="65DA3372"/>
    <w:rsid w:val="669E02C0"/>
    <w:rsid w:val="674C2C15"/>
    <w:rsid w:val="67742297"/>
    <w:rsid w:val="68A21532"/>
    <w:rsid w:val="6A287FC1"/>
    <w:rsid w:val="6A973516"/>
    <w:rsid w:val="6BCE7E9B"/>
    <w:rsid w:val="6D2018C0"/>
    <w:rsid w:val="6D2A5C38"/>
    <w:rsid w:val="6DA83A92"/>
    <w:rsid w:val="70A76145"/>
    <w:rsid w:val="70DF12F9"/>
    <w:rsid w:val="77763F78"/>
    <w:rsid w:val="7778500C"/>
    <w:rsid w:val="78316233"/>
    <w:rsid w:val="78E226A0"/>
    <w:rsid w:val="78E55D05"/>
    <w:rsid w:val="793028DC"/>
    <w:rsid w:val="796356C7"/>
    <w:rsid w:val="799B76AE"/>
    <w:rsid w:val="79CE0937"/>
    <w:rsid w:val="7A210B16"/>
    <w:rsid w:val="7B7B0AB7"/>
    <w:rsid w:val="7BEE704A"/>
    <w:rsid w:val="7C2A0326"/>
    <w:rsid w:val="7CB652EC"/>
    <w:rsid w:val="7DE04E6A"/>
    <w:rsid w:val="7F2D29A0"/>
    <w:rsid w:val="7F3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50" w:beforeLines="50" w:after="50" w:afterLines="50" w:line="560" w:lineRule="exact"/>
      <w:jc w:val="lef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line="560" w:lineRule="exact"/>
      <w:jc w:val="lef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3" w:lineRule="auto"/>
      <w:jc w:val="left"/>
      <w:outlineLvl w:val="2"/>
    </w:pPr>
    <w:rPr>
      <w:rFonts w:eastAsia="仿宋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2 Char"/>
    <w:basedOn w:val="9"/>
    <w:link w:val="3"/>
    <w:qFormat/>
    <w:uiPriority w:val="9"/>
    <w:rPr>
      <w:rFonts w:ascii="Arial" w:hAnsi="Arial" w:eastAsia="楷体"/>
      <w:b/>
      <w:kern w:val="2"/>
      <w:sz w:val="32"/>
      <w:szCs w:val="22"/>
    </w:rPr>
  </w:style>
  <w:style w:type="character" w:customStyle="1" w:styleId="14">
    <w:name w:val="标题 1 Char"/>
    <w:basedOn w:val="9"/>
    <w:link w:val="2"/>
    <w:qFormat/>
    <w:uiPriority w:val="9"/>
    <w:rPr>
      <w:rFonts w:eastAsia="黑体"/>
      <w:b/>
      <w:kern w:val="44"/>
      <w:sz w:val="32"/>
      <w:szCs w:val="22"/>
    </w:rPr>
  </w:style>
  <w:style w:type="character" w:customStyle="1" w:styleId="15">
    <w:name w:val="标题 3 Char"/>
    <w:basedOn w:val="9"/>
    <w:link w:val="4"/>
    <w:qFormat/>
    <w:uiPriority w:val="9"/>
    <w:rPr>
      <w:rFonts w:eastAsia="仿宋"/>
      <w:b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256</Words>
  <Characters>1461</Characters>
  <Lines>12</Lines>
  <Paragraphs>3</Paragraphs>
  <TotalTime>18</TotalTime>
  <ScaleCrop>false</ScaleCrop>
  <LinksUpToDate>false</LinksUpToDate>
  <CharactersWithSpaces>1714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2018-09-27T02:30:00Z</dcterms:created>
  <dc:creator>史忠丰</dc:creator>
  <cp:lastModifiedBy>x</cp:lastModifiedBy>
  <dcterms:modified xsi:type="dcterms:W3CDTF">2020-09-28T01:58:02Z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