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64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初试考试大纲：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微观经济学（占总分40%）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第一章  引论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了解微观经济学的内涵和研究内容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了解微观经济学的历史演进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了解微观经济学的研究方法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第二章</w:t>
            </w:r>
            <w:r>
              <w:rPr>
                <w:rFonts w:ascii="Calibri" w:hAnsi="Calibri" w:eastAsia="仿宋" w:cs="Calibri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需求、供给和均衡价格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1.掌握需求相关概念、曲线及理论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2.掌握供给相关概念、曲线及理论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3.掌握均衡价格的决定与变动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4.理解弹性</w:t>
            </w:r>
            <w:r>
              <w:rPr>
                <w:rFonts w:hint="eastAsia" w:ascii="仿宋" w:hAnsi="仿宋" w:eastAsia="仿宋" w:cs="仿宋"/>
                <w:sz w:val="24"/>
              </w:rPr>
              <w:t xml:space="preserve">的一般概念及计算；熟练掌握需求弹性和供给弹性及其应用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第三章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效用论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掌握效用有关概念及消费者均衡的涵义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运用基数效用论分析消费者均衡、需求曲线的推导和消费者剩余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掌握序数效用论下，无差异曲线、边际替代率、预算线的含义和变动消费者均衡的条件；价格变化和收入变化对消费者均衡的影响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掌握商品价格变化所引起的替代效应和收入效应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了解从单个消费者的需求曲线推导市场需求曲线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第四章 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生产理论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了解厂商的组织形式、本质和目标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熟悉生产函数及具体类型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掌握短期生产理论：各种产量的概念和相互关系；边际报酬递减规律；了解短期生产的三个阶段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掌握长期生产理论：等产量曲线；边际技术替代率；边际技术替代率递减规律；等成本线；最优生产要素组合；等斜线和扩展线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5.熟悉规模报酬的三种情况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第五章 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成本理论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了解机会成本、显成本、隐成本和利润的概念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2.掌握短期成本：短期成本的分类；成本曲线的推导以及各短期成本曲线间的关系；理解短期总成本曲线与短期总产量曲线的关系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掌握长期成本：长期成本的含义和分类；长期成本曲线的推导和形状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第六章  市场结构理论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理解四种市场的类型和特征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掌握完全竞争市场：完全竞争厂商的需求曲线和收益曲线；厂商利润最大化条件；完全竞争厂商的短期均衡和短期供给曲线；完全竞争厂商的长期均衡和长期市场供给曲线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掌握完全垄断市场：理解</w:t>
            </w:r>
            <w:r>
              <w:rPr>
                <w:rFonts w:hint="eastAsia" w:ascii="仿宋" w:hAnsi="仿宋" w:eastAsia="仿宋" w:cs="仿宋"/>
                <w:sz w:val="24"/>
              </w:rPr>
              <w:t>完全垄断市场的涵义及形成原因；完全垄断企业的需求曲线和收益曲线；完全垄断企业的短期均衡和长期均衡；价格歧视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熟悉寡头市</w:t>
            </w:r>
            <w:r>
              <w:rPr>
                <w:rFonts w:hint="eastAsia" w:ascii="仿宋" w:hAnsi="仿宋" w:eastAsia="仿宋" w:cs="仿宋"/>
                <w:sz w:val="24"/>
              </w:rPr>
              <w:t>场：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理解寡头市</w:t>
            </w:r>
            <w:r>
              <w:rPr>
                <w:rFonts w:hint="eastAsia" w:ascii="仿宋" w:hAnsi="仿宋" w:eastAsia="仿宋" w:cs="仿宋"/>
                <w:sz w:val="24"/>
              </w:rPr>
              <w:t>场的涵义及特征；熟悉古诺模型、斯塔克伯格模型、价格领导模型和斯威齐模型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熟悉垄断竞争市场：理解</w:t>
            </w:r>
            <w:r>
              <w:rPr>
                <w:rFonts w:hint="eastAsia" w:ascii="仿宋" w:hAnsi="仿宋" w:eastAsia="仿宋" w:cs="仿宋"/>
                <w:sz w:val="24"/>
              </w:rPr>
              <w:t>垄断竞争市场的涵义及条件；垄断竞争厂商的需求曲线和收益曲线；垄断竞争厂商的短期均衡和长期均衡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了解博弈论的定义、构成要素及应用原则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第七章  要素市场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掌握完全竞争厂商使用要素的原则：边际产品价值、要素价格；完全竞争厂商对生产要素的需求曲线；由厂商的需求曲线推导市场的需求曲线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掌握要素供给原则：效用最大化条件、要素供给的边际效用、自用资源的边际效用；利用无差异曲线分析要素供给原则；价格扩展线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掌握劳动、土地、资本的供给曲线；均衡工资的决定；地租决定理论；掌握租金、准租金和经济租金的概念；资本市场的均衡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  <w:r>
              <w:rPr>
                <w:rFonts w:ascii="仿宋" w:hAnsi="仿宋" w:eastAsia="仿宋" w:cs="仿宋"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掌握洛伦兹曲线和基尼系数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第八章  一般均衡论和福利经济学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了解一般均衡的概念、存在性、实现过程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理解判断经济效率的标准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掌握交换、生产的帕累托最优条件；交换和生产的帕累托最优条件；完全竞争市场中的帕累托最优状态的实现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理解社会福利函数:效用可能性曲线、可能性定理、三种社会福利函数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了解效率与公平的矛盾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第九章</w:t>
            </w:r>
            <w:r>
              <w:rPr>
                <w:rFonts w:ascii="Calibri" w:hAnsi="Calibri" w:eastAsia="仿宋" w:cs="Calibri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市场和政府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1.掌握市场失灵的概念及类型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2.掌握解决市场失灵的相关经济政策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第二部分</w:t>
            </w:r>
            <w:r>
              <w:rPr>
                <w:rFonts w:ascii="Calibri" w:hAnsi="Calibri" w:eastAsia="仿宋" w:cs="Calibri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管理学（占总分60%）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参考书目一：周三多，陈传明，贾良定编著，《管理学-原理和方法》（第六版）复旦大学出版社 2014.12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参考书目二：管理学（第十一版），斯蒂芬·P·罗宾斯主编，玛丽·库尔勒主编，李原，孙健敏译，中国人民大学出版社，2014.6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第一章  管理与管理学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1.了解管理的含义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2.理解管理的性质和管理的基本职能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掌握</w:t>
            </w:r>
            <w:r>
              <w:rPr>
                <w:rFonts w:hint="eastAsia" w:ascii="仿宋" w:hAnsi="仿宋" w:eastAsia="仿宋" w:cs="仿宋"/>
                <w:sz w:val="24"/>
              </w:rPr>
              <w:t>管理者的分类、角色、技能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4.理解管理学的研究对象以及管理学的特征。</w:t>
            </w:r>
          </w:p>
          <w:p>
            <w:pPr>
              <w:spacing w:line="300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第二章 管理思想的发展</w:t>
            </w:r>
          </w:p>
          <w:p>
            <w:pPr>
              <w:spacing w:line="360" w:lineRule="exact"/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1.熟练掌握古典管理理论的内容特点和作用及代表人物</w:t>
            </w:r>
          </w:p>
          <w:p>
            <w:pPr>
              <w:spacing w:line="360" w:lineRule="exact"/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2.熟练掌握行为科学管理理论的主要内容、特点、作用及代表人物。</w:t>
            </w:r>
          </w:p>
          <w:p>
            <w:pPr>
              <w:spacing w:line="360" w:lineRule="exact"/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3.理解管理科学学派和决策理论学派的主要内容、特点、作用及代表人物。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第三章 管理的基本原理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了解管理管理的特征和意义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熟练掌握管理四大基本原理，理解每一原理的特征、实质以及评价。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第四章 管理道德与社会责任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1.了解道德及道德的相关概念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2.了解影响管理者道德素质的因素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3.理解提高员工道德素质的途径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4.熟练掌握企业的社会责任。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第五章 管理的基本方法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1.了解管理的五种基本方法的实质、特点和作用以及如何运用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2.熟练掌握管理的经济方法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第六章 决  策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1.了解决策的定义、原则与依据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2.理解决策在类型与特点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3.熟练掌握决策方法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第七章 计划工作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1.理解计划的概念、计划的构成要素、计划的性质、计划的分类标准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2.熟练掌握计划编制方法和过程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3.了解计划与决策的逻辑关系，长期计划与短期计划、各种职能计划、战略性计划与战术性计划、具体性计划与指导性计划、程序性计划与非程序性计划之间的关系，计划层级体系，计划编制过程的内在逻辑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第八章 计划的组织实施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1.理解目标管理的基本思想、实施步骤以及目标的性质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2.了解滚动计划法及网络计划技术的基本内涵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3.了解战略性计划转化为战术性计划方法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第九章 组织设计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1.了解组织的定义、组织的一般环境、组织的分类和功能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2.理解组织设计的必要性，组织设计的步骤、设计的原则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3.了解</w:t>
            </w:r>
            <w:r>
              <w:rPr>
                <w:rFonts w:hint="eastAsia" w:ascii="仿宋" w:hAnsi="仿宋" w:eastAsia="仿宋" w:cs="仿宋"/>
                <w:sz w:val="24"/>
              </w:rPr>
              <w:t>权变式组织设计与传统的组织设计的不同之处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4.熟练掌握组织结构的定义和基本特征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5.熟练掌握管理幅度和管理层次内涵及其之间的关系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6.了解职权的定义、来源、种类，权力的定义、来源和种类，授权的定义、过程与原则，通过区分层级结构与有机结构可以得出的不同结构类型。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第十章 人员配备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1.了解人员配备的任务、过程，人员配备的一般原则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2.了解员工招聘的标准和来源、人员培训的目标和内容</w:t>
            </w:r>
          </w:p>
          <w:p>
            <w:pPr>
              <w:spacing w:line="360" w:lineRule="exact"/>
              <w:ind w:left="600" w:hanging="600" w:hanging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3．理解绩效评估的定义和作用，职业计划与发展的意义以及阶段性特点。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第十一章 组织力量的整合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熟练掌握正式组织和非正式组织的作用和相互影响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了解直线与参谋的概念及作用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理解委员会的局限性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第十二章 组织变革与组织文化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了解组织变革的外部动因和内部动因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了解组织变革的四种基本类型和三个基本目标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了解组织变革中有关压力、变革阻力、组织冲突的定义和基本特征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熟练掌握组织文化的概念、特征和基本结构。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第十三章 领导与领导者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1.了解领导的性质、作用和领导者的素质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2.了解权力与领导的关系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3.理解领导者的基本分类，领导方式的基本类型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4.熟练掌握几种人性假设理论；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5.熟练掌握领导方式行为理论，领导方式情景理论和权变理论。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第十四章 激励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了解激励的性质、艺术和激励的机制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了解需要、动机和行为的概念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熟练掌握激励的理论及其应用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第十五章 沟通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1.了解沟通的概念、过程和类别，沟通在领导职能中的作用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2.了解组织中沟通、组织间沟通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3.熟练掌握有效沟通的障碍以及实现有效沟通的方法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4.理解冲突及其产生原因、管理冲突的方法、谈判以及谈判的有效性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5.熟练掌握人际沟通的技能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第十六章  管理信息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1.了解管理信息的定义及其特征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2.理解管理信息系统的开发步骤。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3.了解大数据时代的管理挑战与机遇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4.了解基于云计算的信息管理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第十七章 控制与控制过程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1.了解控制的必要性、性质、类型以及控制的工作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2.理解控制理论的基本内容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3.熟练掌握控制的过程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第十八章 控制方法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1.了解预算的编制、预算的种类，预算的作用和缺点，对供应商的控制，经营审计的内涵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2.熟练掌握控制方法的种类，几种重要的比率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第十九章 管理的创新职能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1.理解维持与创新的概念、创新的类型及其基本特征和创新的过程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2.了解创新与维持的职能能及相互关系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3.了解目标创新、技术创新、制度创新、组织创新等基本概念，创新活动的内容及其组织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第二十章 企业技术创新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1.理解熟悉技术创新内涵和贡献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2.熟练掌握技术创新的源泉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3.了解技术创新战略及其选择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第二十一章 企业组织创新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1.理解企业制度创新的内涵、组织结构化影响因素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2.了解资本逻辑的企业制度、知识逻辑的企业制度的基本概念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3.了解层级组织、网络化层级组织的基本概念</w:t>
            </w:r>
          </w:p>
          <w:p>
            <w:pPr>
              <w:tabs>
                <w:tab w:val="left" w:pos="0"/>
              </w:tabs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4.了解企业文化、一元企业文化以及多元企业文化的基本概念</w:t>
            </w:r>
          </w:p>
          <w:p>
            <w:pPr>
              <w:spacing w:line="360" w:lineRule="exact"/>
              <w:ind w:left="480" w:hanging="480" w:hangingChars="2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5.理解知识经济可能给企业制度结构、层级组织以及企业文化带来何种影响</w:t>
            </w:r>
          </w:p>
        </w:tc>
      </w:tr>
    </w:tbl>
    <w:p>
      <w:pPr>
        <w:ind w:firstLine="3640" w:firstLineChars="13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Calibri" w:eastAsia="宋体"/>
          <w:b w:val="0"/>
          <w:bCs w:val="0"/>
          <w:sz w:val="28"/>
          <w:szCs w:val="36"/>
          <w:lang w:val="en-US" w:eastAsia="zh-CN"/>
        </w:rPr>
        <w:t>院长（签字）盖章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</w:t>
      </w:r>
    </w:p>
    <w:p>
      <w:pPr>
        <w:jc w:val="right"/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</w:t>
      </w:r>
      <w:r>
        <w:rPr>
          <w:rFonts w:hint="eastAsia" w:ascii="Calibri" w:eastAsia="宋体"/>
          <w:b w:val="0"/>
          <w:bCs w:val="0"/>
          <w:sz w:val="28"/>
          <w:szCs w:val="36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7</w:t>
      </w:r>
      <w:r>
        <w:rPr>
          <w:rFonts w:hint="eastAsia" w:ascii="Calibri" w:eastAsia="宋体"/>
          <w:b w:val="0"/>
          <w:bCs w:val="0"/>
          <w:sz w:val="28"/>
          <w:szCs w:val="36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6</w:t>
      </w:r>
      <w:r>
        <w:rPr>
          <w:rFonts w:hint="eastAsia" w:ascii="Calibri" w:eastAsia="宋体"/>
          <w:b w:val="0"/>
          <w:bCs w:val="0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377"/>
    <w:multiLevelType w:val="multilevel"/>
    <w:tmpl w:val="09A663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B01F16"/>
    <w:multiLevelType w:val="multilevel"/>
    <w:tmpl w:val="3AB01F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70258"/>
    <w:multiLevelType w:val="multilevel"/>
    <w:tmpl w:val="7FF702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1529"/>
    <w:rsid w:val="025B5181"/>
    <w:rsid w:val="2288679B"/>
    <w:rsid w:val="28771529"/>
    <w:rsid w:val="32811CDA"/>
    <w:rsid w:val="4FCF3C19"/>
    <w:rsid w:val="6B4D1DD4"/>
    <w:rsid w:val="7E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Administrator</dc:creator>
  <cp:lastModifiedBy>美好</cp:lastModifiedBy>
  <dcterms:modified xsi:type="dcterms:W3CDTF">2020-09-28T09:15:15Z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